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E4E4" w14:textId="77777777" w:rsidR="00491F9E" w:rsidRDefault="00491F9E">
      <w:pPr>
        <w:spacing w:before="1200"/>
      </w:pPr>
    </w:p>
    <w:p w14:paraId="28A2C470" w14:textId="77777777" w:rsidR="00491F9E" w:rsidRDefault="00D4055E">
      <w:pPr>
        <w:pStyle w:val="Heading1"/>
      </w:pPr>
      <w:r>
        <w:rPr>
          <w:b/>
          <w:bCs/>
          <w:sz w:val="36"/>
          <w:szCs w:val="36"/>
        </w:rPr>
        <w:t>The Untold Accessibility Story: How Publishers Are Doing More Than They're Saying</w:t>
      </w:r>
    </w:p>
    <w:p w14:paraId="0756CCB7" w14:textId="77777777" w:rsidR="00A5553A" w:rsidRDefault="00A5553A" w:rsidP="00A5553A"/>
    <w:p w14:paraId="27F83BA9" w14:textId="77777777" w:rsidR="00491F9E" w:rsidRPr="00A5553A" w:rsidRDefault="00D4055E" w:rsidP="00A5553A">
      <w:pPr>
        <w:pStyle w:val="Heading2"/>
      </w:pPr>
      <w:r w:rsidRPr="00A5553A">
        <w:t>A Post-EAA Survey of Publisher Accessibility Statements</w:t>
      </w:r>
    </w:p>
    <w:p w14:paraId="79157831" w14:textId="77777777" w:rsidR="00491F9E" w:rsidRDefault="00491F9E">
      <w:pPr>
        <w:spacing w:before="1200"/>
      </w:pPr>
    </w:p>
    <w:p w14:paraId="47B0D9AD" w14:textId="34199198" w:rsidR="00491F9E" w:rsidRDefault="00D4055E">
      <w:pPr>
        <w:spacing w:after="200"/>
      </w:pPr>
      <w:r>
        <w:rPr>
          <w:sz w:val="24"/>
          <w:szCs w:val="24"/>
        </w:rPr>
        <w:t xml:space="preserve">Prepared by </w:t>
      </w:r>
      <w:r>
        <w:rPr>
          <w:sz w:val="24"/>
          <w:szCs w:val="24"/>
        </w:rPr>
        <w:t>ASPIRE | January 2026</w:t>
      </w:r>
    </w:p>
    <w:p w14:paraId="669B8EA6" w14:textId="77777777" w:rsidR="00491F9E" w:rsidRDefault="00D4055E">
      <w:r>
        <w:br w:type="page"/>
      </w:r>
    </w:p>
    <w:p w14:paraId="78BC571C" w14:textId="77777777" w:rsidR="00491F9E" w:rsidRDefault="00D4055E">
      <w:pPr>
        <w:pStyle w:val="Heading3"/>
      </w:pPr>
      <w:r>
        <w:rPr>
          <w:b/>
          <w:bCs/>
          <w:sz w:val="28"/>
          <w:szCs w:val="28"/>
        </w:rPr>
        <w:lastRenderedPageBreak/>
        <w:t>Introduction</w:t>
      </w:r>
    </w:p>
    <w:p w14:paraId="6C66C115" w14:textId="77777777" w:rsidR="00491F9E" w:rsidRDefault="00D4055E">
      <w:pPr>
        <w:spacing w:after="200"/>
      </w:pPr>
      <w:r>
        <w:rPr>
          <w:i/>
          <w:iCs/>
        </w:rPr>
        <w:t>You'd never publish a book without marketing copy. So why implement accessibility work and not tell anyone?</w:t>
      </w:r>
    </w:p>
    <w:p w14:paraId="3D0A42D5" w14:textId="073F3870" w:rsidR="00491F9E" w:rsidRDefault="00D4055E">
      <w:pPr>
        <w:spacing w:after="200"/>
      </w:pPr>
      <w:r>
        <w:t>Th</w:t>
      </w:r>
      <w:r w:rsidR="00084C55">
        <w:t>is</w:t>
      </w:r>
      <w:r>
        <w:t xml:space="preserve"> quote is taken from European Accessibility Act + accessibility statements: An ASPIRE overview (October 2024), an ASPIRE Paper written in the months leading up to the implementation of the European Accessibility Act.</w:t>
      </w:r>
    </w:p>
    <w:p w14:paraId="4DB2B720" w14:textId="77777777" w:rsidR="00491F9E" w:rsidRDefault="00D4055E">
      <w:pPr>
        <w:spacing w:after="200"/>
      </w:pPr>
      <w:r>
        <w:t>The EAA came into force on 28 June 2025, requiring publishers to provide accessibility information to users. But the EAA doesn't specify how — there's no template, no prescribed format. This freedom is an opportunity: accessibility statements can tell the story of your work, your values, and your investment.</w:t>
      </w:r>
    </w:p>
    <w:p w14:paraId="5C2826FB" w14:textId="77777777" w:rsidR="00491F9E" w:rsidRDefault="00D4055E">
      <w:pPr>
        <w:spacing w:after="200"/>
      </w:pPr>
      <w:r>
        <w:t>We reviewed the accessibility statements of 25 major publishers to understand how the industry is communicating with users post-EAA. Using 5 key indicators derived from ASPIRE criteria and a series of qualitative measures (including GCA-certification and PAAG Charter commitment), we evaluated how effectively publishers are telling their accessibility story.</w:t>
      </w:r>
    </w:p>
    <w:p w14:paraId="0B6C5BA8" w14:textId="77777777" w:rsidR="00491F9E" w:rsidRDefault="00D4055E">
      <w:pPr>
        <w:spacing w:after="200"/>
      </w:pPr>
      <w:r>
        <w:t>What we found was an opportunity gap: publishers are doing more accessibility work than they're communicating. Their story isn't being told.</w:t>
      </w:r>
    </w:p>
    <w:p w14:paraId="5704E1CB" w14:textId="77777777" w:rsidR="00491F9E" w:rsidRDefault="00D4055E">
      <w:pPr>
        <w:spacing w:after="200"/>
      </w:pPr>
      <w:r>
        <w:t>This isn't about compliance failures. It's about missed opportunities:</w:t>
      </w:r>
    </w:p>
    <w:p w14:paraId="71571790" w14:textId="77777777" w:rsidR="00491F9E" w:rsidRDefault="00D4055E" w:rsidP="00A5553A">
      <w:pPr>
        <w:pStyle w:val="ListParagraph"/>
        <w:numPr>
          <w:ilvl w:val="0"/>
          <w:numId w:val="3"/>
        </w:numPr>
        <w:spacing w:after="80"/>
      </w:pPr>
      <w:r>
        <w:t>Publishers with Benetech Global Certified Accessible (GCA) certification who barely mention it.</w:t>
      </w:r>
    </w:p>
    <w:p w14:paraId="352FE1F4" w14:textId="77777777" w:rsidR="00491F9E" w:rsidRDefault="00D4055E" w:rsidP="00A5553A">
      <w:pPr>
        <w:pStyle w:val="ListParagraph"/>
        <w:numPr>
          <w:ilvl w:val="0"/>
          <w:numId w:val="3"/>
        </w:numPr>
        <w:spacing w:after="80"/>
      </w:pPr>
      <w:r>
        <w:t>PAAG Accessible Publishing Charter signatories who don't reference their membership and commitment.</w:t>
      </w:r>
    </w:p>
    <w:p w14:paraId="08FC2430" w14:textId="77777777" w:rsidR="00491F9E" w:rsidRDefault="00D4055E" w:rsidP="00A5553A">
      <w:pPr>
        <w:pStyle w:val="ListParagraph"/>
        <w:numPr>
          <w:ilvl w:val="0"/>
          <w:numId w:val="3"/>
        </w:numPr>
        <w:spacing w:after="80"/>
      </w:pPr>
      <w:r>
        <w:t>Image description workflows that are not communicated to users and readers.</w:t>
      </w:r>
    </w:p>
    <w:p w14:paraId="4C04F10C" w14:textId="77777777" w:rsidR="00491F9E" w:rsidRDefault="00D4055E" w:rsidP="00A5553A">
      <w:pPr>
        <w:pStyle w:val="ListParagraph"/>
        <w:numPr>
          <w:ilvl w:val="0"/>
          <w:numId w:val="3"/>
        </w:numPr>
        <w:spacing w:after="80"/>
      </w:pPr>
      <w:r>
        <w:t>Comprehensive accessibility programmes hidden behind minimal public statements.</w:t>
      </w:r>
    </w:p>
    <w:p w14:paraId="74A02842" w14:textId="77777777" w:rsidR="00491F9E" w:rsidRDefault="00491F9E">
      <w:pPr>
        <w:spacing w:before="120"/>
      </w:pPr>
    </w:p>
    <w:p w14:paraId="3F355015" w14:textId="77777777" w:rsidR="00491F9E" w:rsidRDefault="00D4055E">
      <w:pPr>
        <w:spacing w:after="200"/>
      </w:pPr>
      <w:r>
        <w:t>The accessible publishing work is being done. Users just can't discover it.</w:t>
      </w:r>
    </w:p>
    <w:p w14:paraId="7B4E02E0" w14:textId="77777777" w:rsidR="00491F9E" w:rsidRDefault="00D4055E">
      <w:r>
        <w:br w:type="page"/>
      </w:r>
    </w:p>
    <w:p w14:paraId="7AD155FD" w14:textId="77777777" w:rsidR="00491F9E" w:rsidRDefault="00D4055E">
      <w:pPr>
        <w:pStyle w:val="Heading3"/>
        <w:rPr>
          <w:b/>
          <w:bCs/>
          <w:sz w:val="28"/>
          <w:szCs w:val="28"/>
        </w:rPr>
      </w:pPr>
      <w:r>
        <w:rPr>
          <w:b/>
          <w:bCs/>
          <w:sz w:val="28"/>
          <w:szCs w:val="28"/>
        </w:rPr>
        <w:lastRenderedPageBreak/>
        <w:t>What We Found: The Opportunity Gap</w:t>
      </w:r>
    </w:p>
    <w:p w14:paraId="14B6A273" w14:textId="1F958EA6" w:rsidR="0033755A" w:rsidRDefault="0033755A" w:rsidP="0033755A">
      <w:r>
        <w:t>The survey</w:t>
      </w:r>
      <w:r w:rsidR="0034698C">
        <w:t xml:space="preserve"> uncovered the following elements:</w:t>
      </w:r>
    </w:p>
    <w:p w14:paraId="362D3513" w14:textId="77777777" w:rsidR="0034698C" w:rsidRDefault="0034698C" w:rsidP="0033755A"/>
    <w:p w14:paraId="4BDCCC9C" w14:textId="77777777" w:rsidR="00491F9E" w:rsidRDefault="00D4055E">
      <w:pPr>
        <w:spacing w:after="160"/>
      </w:pPr>
      <w:r>
        <w:rPr>
          <w:b/>
          <w:bCs/>
          <w:sz w:val="24"/>
          <w:szCs w:val="24"/>
        </w:rPr>
        <w:t>The good news</w:t>
      </w:r>
    </w:p>
    <w:p w14:paraId="70A266B1" w14:textId="77777777" w:rsidR="00491F9E" w:rsidRDefault="00D4055E" w:rsidP="00A5553A">
      <w:pPr>
        <w:pStyle w:val="ListParagraph"/>
        <w:numPr>
          <w:ilvl w:val="0"/>
          <w:numId w:val="5"/>
        </w:numPr>
        <w:spacing w:after="80"/>
      </w:pPr>
      <w:r>
        <w:t>96% of publishers surveyed have some form of accessibility statement or information.</w:t>
      </w:r>
    </w:p>
    <w:p w14:paraId="214A9554" w14:textId="77777777" w:rsidR="00491F9E" w:rsidRDefault="00D4055E" w:rsidP="00A5553A">
      <w:pPr>
        <w:pStyle w:val="ListParagraph"/>
        <w:numPr>
          <w:ilvl w:val="0"/>
          <w:numId w:val="5"/>
        </w:numPr>
        <w:spacing w:after="80"/>
      </w:pPr>
      <w:r>
        <w:t>52% of publishers surveyed are PAAG Charter signatories — demonstrating industry commitment.</w:t>
      </w:r>
    </w:p>
    <w:p w14:paraId="454F8943" w14:textId="77777777" w:rsidR="00491F9E" w:rsidRDefault="00D4055E" w:rsidP="00A5553A">
      <w:pPr>
        <w:pStyle w:val="ListParagraph"/>
        <w:numPr>
          <w:ilvl w:val="0"/>
          <w:numId w:val="5"/>
        </w:numPr>
        <w:spacing w:after="80"/>
      </w:pPr>
      <w:r>
        <w:t>40% hold Benetech GCA certification for born-accessible ebook production.</w:t>
      </w:r>
    </w:p>
    <w:p w14:paraId="1751AFB3" w14:textId="77777777" w:rsidR="00491F9E" w:rsidRDefault="00D4055E" w:rsidP="00A5553A">
      <w:pPr>
        <w:pStyle w:val="ListParagraph"/>
        <w:numPr>
          <w:ilvl w:val="0"/>
          <w:numId w:val="5"/>
        </w:numPr>
        <w:spacing w:after="80"/>
      </w:pPr>
      <w:r>
        <w:t>1 publisher achieved a perfect score across all indicators.</w:t>
      </w:r>
    </w:p>
    <w:p w14:paraId="33CE3022" w14:textId="77777777" w:rsidR="00491F9E" w:rsidRDefault="00491F9E">
      <w:pPr>
        <w:spacing w:before="120"/>
      </w:pPr>
    </w:p>
    <w:p w14:paraId="0819547C" w14:textId="77777777" w:rsidR="00491F9E" w:rsidRDefault="00D4055E">
      <w:pPr>
        <w:spacing w:after="160"/>
      </w:pPr>
      <w:r>
        <w:rPr>
          <w:b/>
          <w:bCs/>
          <w:sz w:val="24"/>
          <w:szCs w:val="24"/>
        </w:rPr>
        <w:t>The opportunity</w:t>
      </w:r>
    </w:p>
    <w:p w14:paraId="4ECABB24" w14:textId="77777777" w:rsidR="00491F9E" w:rsidRDefault="00D4055E" w:rsidP="00A5553A">
      <w:pPr>
        <w:pStyle w:val="ListParagraph"/>
        <w:numPr>
          <w:ilvl w:val="0"/>
          <w:numId w:val="7"/>
        </w:numPr>
        <w:spacing w:after="80"/>
      </w:pPr>
      <w:r>
        <w:t>Overall, publishers are communicating 50% of their potential accessibility story — leaving half untold.</w:t>
      </w:r>
    </w:p>
    <w:p w14:paraId="527A205B" w14:textId="77777777" w:rsidR="00491F9E" w:rsidRDefault="00D4055E" w:rsidP="00A5553A">
      <w:pPr>
        <w:pStyle w:val="ListParagraph"/>
        <w:numPr>
          <w:ilvl w:val="0"/>
          <w:numId w:val="7"/>
        </w:numPr>
        <w:spacing w:after="80"/>
      </w:pPr>
      <w:r>
        <w:t>56% don't mention image descriptions at all in their accessibility statements.</w:t>
      </w:r>
    </w:p>
    <w:p w14:paraId="32381974" w14:textId="77777777" w:rsidR="00491F9E" w:rsidRDefault="00D4055E" w:rsidP="00A5553A">
      <w:pPr>
        <w:pStyle w:val="ListParagraph"/>
        <w:numPr>
          <w:ilvl w:val="0"/>
          <w:numId w:val="7"/>
        </w:numPr>
        <w:spacing w:after="80"/>
      </w:pPr>
      <w:r>
        <w:t>68% don't date their statements — missing a chance to demonstrate currency and engagement.</w:t>
      </w:r>
    </w:p>
    <w:p w14:paraId="2D353B2D" w14:textId="77777777" w:rsidR="00491F9E" w:rsidRDefault="00D4055E" w:rsidP="00A5553A">
      <w:pPr>
        <w:pStyle w:val="ListParagraph"/>
        <w:numPr>
          <w:ilvl w:val="0"/>
          <w:numId w:val="7"/>
        </w:numPr>
        <w:spacing w:after="80"/>
      </w:pPr>
      <w:r>
        <w:t>Despite their certified production capabilities, GCA-certified publishers score only marginally higher on communication indicators (5.7 vs 5.4 out of 11).</w:t>
      </w:r>
    </w:p>
    <w:p w14:paraId="6E2C047D" w14:textId="77777777" w:rsidR="00491F9E" w:rsidRDefault="00D4055E" w:rsidP="00A5553A">
      <w:pPr>
        <w:pStyle w:val="ListParagraph"/>
        <w:numPr>
          <w:ilvl w:val="0"/>
          <w:numId w:val="7"/>
        </w:numPr>
        <w:spacing w:after="80"/>
      </w:pPr>
      <w:r>
        <w:t>We found GCA-certified publishers at both extremes of our scoring range.</w:t>
      </w:r>
    </w:p>
    <w:p w14:paraId="29B512C4" w14:textId="77777777" w:rsidR="00491F9E" w:rsidRDefault="00D4055E" w:rsidP="00A5553A">
      <w:pPr>
        <w:pStyle w:val="ListParagraph"/>
        <w:numPr>
          <w:ilvl w:val="0"/>
          <w:numId w:val="7"/>
        </w:numPr>
        <w:spacing w:after="80"/>
      </w:pPr>
      <w:r>
        <w:t>One major publisher has no accessibility statement at all.</w:t>
      </w:r>
    </w:p>
    <w:p w14:paraId="229DBDA6" w14:textId="77777777" w:rsidR="00491F9E" w:rsidRDefault="00491F9E">
      <w:pPr>
        <w:spacing w:before="120"/>
      </w:pPr>
    </w:p>
    <w:p w14:paraId="188157FB" w14:textId="77777777" w:rsidR="00491F9E" w:rsidRDefault="00D4055E">
      <w:pPr>
        <w:spacing w:after="200"/>
      </w:pPr>
      <w:r>
        <w:t>The gap between what publishers are achieving and what they're communicating represents unrealised value — both for users who can't discover accessible content, and for publishers who aren't getting credit for their investment.</w:t>
      </w:r>
    </w:p>
    <w:p w14:paraId="35190762" w14:textId="77777777" w:rsidR="00491F9E" w:rsidRDefault="00D4055E">
      <w:r>
        <w:br w:type="page"/>
      </w:r>
    </w:p>
    <w:p w14:paraId="1C3D1438" w14:textId="77777777" w:rsidR="00491F9E" w:rsidRDefault="00D4055E">
      <w:pPr>
        <w:pStyle w:val="Heading3"/>
        <w:rPr>
          <w:b/>
          <w:bCs/>
          <w:sz w:val="28"/>
          <w:szCs w:val="28"/>
        </w:rPr>
      </w:pPr>
      <w:r>
        <w:rPr>
          <w:b/>
          <w:bCs/>
          <w:sz w:val="28"/>
          <w:szCs w:val="28"/>
        </w:rPr>
        <w:lastRenderedPageBreak/>
        <w:t>What Does Excellence Look Like?</w:t>
      </w:r>
    </w:p>
    <w:p w14:paraId="06CC3CE7" w14:textId="143BAA0D" w:rsidR="00F53156" w:rsidRDefault="00F53156" w:rsidP="00F53156">
      <w:r w:rsidRPr="00F53156">
        <w:t>The following chart compares indicator performance across the scoring spectrum — from the top-performing publishers to those at the bottom of our survey.</w:t>
      </w:r>
    </w:p>
    <w:p w14:paraId="63BE032B" w14:textId="77777777" w:rsidR="00F53156" w:rsidRDefault="00F53156" w:rsidP="00F53156"/>
    <w:p w14:paraId="6D1AEC7F" w14:textId="3CBF9D84" w:rsidR="00F9281F" w:rsidRDefault="00F9281F" w:rsidP="00F9281F">
      <w:pPr>
        <w:spacing w:after="200"/>
        <w:jc w:val="center"/>
      </w:pPr>
      <w:r w:rsidRPr="00F9281F">
        <w:rPr>
          <w:noProof/>
        </w:rPr>
        <w:drawing>
          <wp:inline distT="0" distB="0" distL="0" distR="0" wp14:anchorId="1E0A9763" wp14:editId="21C305C6">
            <wp:extent cx="3261360" cy="3799695"/>
            <wp:effectExtent l="0" t="0" r="0" b="0"/>
            <wp:docPr id="998512228" name="Picture 1" descr="A full image description of this radar chart is provided in the description annex at the end of thi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12228" name="Picture 1" descr="A full image description of this radar chart is provided in the description annex at the end of this report."/>
                    <pic:cNvPicPr/>
                  </pic:nvPicPr>
                  <pic:blipFill>
                    <a:blip r:embed="rId5"/>
                    <a:stretch>
                      <a:fillRect/>
                    </a:stretch>
                  </pic:blipFill>
                  <pic:spPr>
                    <a:xfrm>
                      <a:off x="0" y="0"/>
                      <a:ext cx="3279100" cy="3820364"/>
                    </a:xfrm>
                    <a:prstGeom prst="rect">
                      <a:avLst/>
                    </a:prstGeom>
                  </pic:spPr>
                </pic:pic>
              </a:graphicData>
            </a:graphic>
          </wp:inline>
        </w:drawing>
      </w:r>
    </w:p>
    <w:p w14:paraId="445CC8ED" w14:textId="604D2634" w:rsidR="00491F9E" w:rsidRDefault="00D4055E">
      <w:pPr>
        <w:spacing w:after="200"/>
      </w:pPr>
      <w:r>
        <w:t>The top-ranked publishers in our survey demonstrate what's possible when accessibility communication is treated as an opportunity rather than an obligation. Their statements include:</w:t>
      </w:r>
    </w:p>
    <w:p w14:paraId="3694F95A" w14:textId="77777777" w:rsidR="00491F9E" w:rsidRDefault="00D4055E" w:rsidP="00A5553A">
      <w:pPr>
        <w:pStyle w:val="ListParagraph"/>
        <w:numPr>
          <w:ilvl w:val="0"/>
          <w:numId w:val="8"/>
        </w:numPr>
        <w:spacing w:after="80"/>
      </w:pPr>
      <w:r>
        <w:t>Specific commitments: "All new ebook titles include alt text for images."</w:t>
      </w:r>
    </w:p>
    <w:p w14:paraId="0C2EAF97" w14:textId="77777777" w:rsidR="00491F9E" w:rsidRDefault="00D4055E" w:rsidP="00A5553A">
      <w:pPr>
        <w:pStyle w:val="ListParagraph"/>
        <w:numPr>
          <w:ilvl w:val="0"/>
          <w:numId w:val="8"/>
        </w:numPr>
        <w:spacing w:after="80"/>
      </w:pPr>
      <w:r>
        <w:t>C</w:t>
      </w:r>
      <w:r>
        <w:t>lear format information: EPUB3, PDF, alternative format request processes with response times.</w:t>
      </w:r>
    </w:p>
    <w:p w14:paraId="7612E8AD" w14:textId="77777777" w:rsidR="00491F9E" w:rsidRDefault="00D4055E" w:rsidP="00A5553A">
      <w:pPr>
        <w:pStyle w:val="ListParagraph"/>
        <w:numPr>
          <w:ilvl w:val="0"/>
          <w:numId w:val="8"/>
        </w:numPr>
        <w:spacing w:after="80"/>
      </w:pPr>
      <w:r>
        <w:t>Named contacts with specific accessibility roles.</w:t>
      </w:r>
    </w:p>
    <w:p w14:paraId="4E753739" w14:textId="77777777" w:rsidR="00491F9E" w:rsidRDefault="00D4055E" w:rsidP="00A5553A">
      <w:pPr>
        <w:pStyle w:val="ListParagraph"/>
        <w:numPr>
          <w:ilvl w:val="0"/>
          <w:numId w:val="8"/>
        </w:numPr>
        <w:spacing w:after="80"/>
      </w:pPr>
      <w:r>
        <w:t>Platform documentation with VPATs/ACRs available.</w:t>
      </w:r>
    </w:p>
    <w:p w14:paraId="01D461A6" w14:textId="77777777" w:rsidR="00491F9E" w:rsidRDefault="00D4055E" w:rsidP="00A5553A">
      <w:pPr>
        <w:pStyle w:val="ListParagraph"/>
        <w:numPr>
          <w:ilvl w:val="0"/>
          <w:numId w:val="8"/>
        </w:numPr>
        <w:spacing w:after="80"/>
      </w:pPr>
      <w:r>
        <w:t>Certifications prominently displayed (Benetech GCA, where held).</w:t>
      </w:r>
    </w:p>
    <w:p w14:paraId="4BB2CBE9" w14:textId="77777777" w:rsidR="00491F9E" w:rsidRDefault="00D4055E" w:rsidP="00A5553A">
      <w:pPr>
        <w:pStyle w:val="ListParagraph"/>
        <w:numPr>
          <w:ilvl w:val="0"/>
          <w:numId w:val="8"/>
        </w:numPr>
        <w:spacing w:after="80"/>
      </w:pPr>
      <w:r>
        <w:t>Charter memberships referenced (PAAG, ABC).</w:t>
      </w:r>
    </w:p>
    <w:p w14:paraId="254582BD" w14:textId="77777777" w:rsidR="00491F9E" w:rsidRDefault="00D4055E" w:rsidP="00A5553A">
      <w:pPr>
        <w:pStyle w:val="ListParagraph"/>
        <w:numPr>
          <w:ilvl w:val="0"/>
          <w:numId w:val="8"/>
        </w:numPr>
        <w:spacing w:after="80"/>
      </w:pPr>
      <w:r>
        <w:t>Regular updates with visible dates.</w:t>
      </w:r>
    </w:p>
    <w:p w14:paraId="76B55603" w14:textId="77777777" w:rsidR="00491F9E" w:rsidRDefault="00D4055E" w:rsidP="00A5553A">
      <w:pPr>
        <w:pStyle w:val="ListParagraph"/>
        <w:numPr>
          <w:ilvl w:val="0"/>
          <w:numId w:val="8"/>
        </w:numPr>
        <w:spacing w:after="80"/>
      </w:pPr>
      <w:r>
        <w:t>A roadmap for ongoing work — backlist remediation, future improvements.</w:t>
      </w:r>
    </w:p>
    <w:p w14:paraId="25B1AAA0" w14:textId="77777777" w:rsidR="00491F9E" w:rsidRDefault="00491F9E">
      <w:pPr>
        <w:spacing w:before="120"/>
      </w:pPr>
    </w:p>
    <w:p w14:paraId="2BEB8794" w14:textId="77777777" w:rsidR="00491F9E" w:rsidRDefault="00D4055E">
      <w:pPr>
        <w:spacing w:after="200"/>
      </w:pPr>
      <w:r>
        <w:t>These statements tell a story. They demonstrate investment, commitment, and respect for users. They're marketing copy for accessibility work — and they're exactly what the EAA envisions.</w:t>
      </w:r>
    </w:p>
    <w:p w14:paraId="05BD0F3D" w14:textId="77777777" w:rsidR="00491F9E" w:rsidRDefault="00D4055E">
      <w:r>
        <w:br w:type="page"/>
      </w:r>
    </w:p>
    <w:p w14:paraId="40FE3BCD" w14:textId="77777777" w:rsidR="00491F9E" w:rsidRDefault="00D4055E">
      <w:pPr>
        <w:pStyle w:val="Heading3"/>
      </w:pPr>
      <w:r>
        <w:rPr>
          <w:b/>
          <w:bCs/>
          <w:sz w:val="28"/>
          <w:szCs w:val="28"/>
        </w:rPr>
        <w:lastRenderedPageBreak/>
        <w:t>The Survey Results</w:t>
      </w:r>
    </w:p>
    <w:p w14:paraId="7448FA7E" w14:textId="77777777" w:rsidR="00491F9E" w:rsidRDefault="00D4055E">
      <w:pPr>
        <w:spacing w:after="200"/>
      </w:pPr>
      <w:r>
        <w:t>We reviewed 25 major publishers against 5 indicators derived from ASPIRE criteria.</w:t>
      </w:r>
    </w:p>
    <w:p w14:paraId="2EBE9781" w14:textId="77777777" w:rsidR="00491F9E" w:rsidRDefault="00D4055E" w:rsidP="00A5553A">
      <w:pPr>
        <w:pStyle w:val="ListParagraph"/>
        <w:numPr>
          <w:ilvl w:val="0"/>
          <w:numId w:val="9"/>
        </w:numPr>
        <w:spacing w:after="80"/>
      </w:pPr>
      <w:r w:rsidRPr="009D4FF1">
        <w:rPr>
          <w:b/>
          <w:bCs/>
        </w:rPr>
        <w:t>Discoverability</w:t>
      </w:r>
      <w:r>
        <w:t>: the ease of discoverability of accessibility information on the website.</w:t>
      </w:r>
    </w:p>
    <w:p w14:paraId="60C700B6" w14:textId="77777777" w:rsidR="00491F9E" w:rsidRDefault="00D4055E" w:rsidP="00A5553A">
      <w:pPr>
        <w:pStyle w:val="ListParagraph"/>
        <w:numPr>
          <w:ilvl w:val="0"/>
          <w:numId w:val="9"/>
        </w:numPr>
        <w:spacing w:after="80"/>
      </w:pPr>
      <w:r w:rsidRPr="009D4FF1">
        <w:rPr>
          <w:b/>
          <w:bCs/>
        </w:rPr>
        <w:t>Currency</w:t>
      </w:r>
      <w:r>
        <w:t>: the date of the most recent update of the statement.</w:t>
      </w:r>
    </w:p>
    <w:p w14:paraId="4D731F95" w14:textId="77777777" w:rsidR="00491F9E" w:rsidRDefault="00D4055E" w:rsidP="00A5553A">
      <w:pPr>
        <w:pStyle w:val="ListParagraph"/>
        <w:numPr>
          <w:ilvl w:val="0"/>
          <w:numId w:val="9"/>
        </w:numPr>
        <w:spacing w:after="80"/>
      </w:pPr>
      <w:r w:rsidRPr="009D4FF1">
        <w:rPr>
          <w:b/>
          <w:bCs/>
        </w:rPr>
        <w:t>Contact</w:t>
      </w:r>
      <w:r>
        <w:t>: level of contact information provided.</w:t>
      </w:r>
    </w:p>
    <w:p w14:paraId="548F6C52" w14:textId="77777777" w:rsidR="00491F9E" w:rsidRDefault="00D4055E" w:rsidP="00A5553A">
      <w:pPr>
        <w:pStyle w:val="ListParagraph"/>
        <w:numPr>
          <w:ilvl w:val="0"/>
          <w:numId w:val="9"/>
        </w:numPr>
        <w:spacing w:after="80"/>
      </w:pPr>
      <w:r w:rsidRPr="009D4FF1">
        <w:rPr>
          <w:b/>
          <w:bCs/>
        </w:rPr>
        <w:t>Formats</w:t>
      </w:r>
      <w:r>
        <w:t>: the formats available for users.</w:t>
      </w:r>
    </w:p>
    <w:p w14:paraId="1D3B73C9" w14:textId="77777777" w:rsidR="00491F9E" w:rsidRDefault="00D4055E" w:rsidP="00A5553A">
      <w:pPr>
        <w:pStyle w:val="ListParagraph"/>
        <w:numPr>
          <w:ilvl w:val="0"/>
          <w:numId w:val="9"/>
        </w:numPr>
        <w:spacing w:after="160"/>
        <w:ind w:left="714" w:hanging="357"/>
      </w:pPr>
      <w:r w:rsidRPr="009D4FF1">
        <w:rPr>
          <w:b/>
          <w:bCs/>
        </w:rPr>
        <w:t>Image Descriptions</w:t>
      </w:r>
      <w:r>
        <w:t>: the provision of alt text in publisher titles.</w:t>
      </w:r>
    </w:p>
    <w:p w14:paraId="0CD5B260" w14:textId="77777777" w:rsidR="00491F9E" w:rsidRDefault="00D4055E">
      <w:pPr>
        <w:spacing w:after="200"/>
      </w:pPr>
      <w:r>
        <w:t>The maximum possible score is 11 points.</w:t>
      </w:r>
    </w:p>
    <w:p w14:paraId="7D28C3DE" w14:textId="77777777" w:rsidR="00491F9E" w:rsidRDefault="00D4055E">
      <w:pPr>
        <w:pStyle w:val="Heading3"/>
      </w:pPr>
      <w:r>
        <w:rPr>
          <w:b/>
          <w:bCs/>
          <w:sz w:val="28"/>
          <w:szCs w:val="28"/>
        </w:rPr>
        <w:t>Score distribution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7"/>
        <w:gridCol w:w="1768"/>
        <w:gridCol w:w="4823"/>
      </w:tblGrid>
      <w:tr w:rsidR="00491F9E" w14:paraId="020B8269" w14:textId="77777777" w:rsidTr="00FA35C4">
        <w:tc>
          <w:tcPr>
            <w:tcW w:w="2767"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1FEF284B" w14:textId="77777777" w:rsidR="00491F9E" w:rsidRDefault="00D4055E">
            <w:r>
              <w:rPr>
                <w:b/>
                <w:bCs/>
                <w:sz w:val="20"/>
                <w:szCs w:val="20"/>
              </w:rPr>
              <w:t>Score Range</w:t>
            </w:r>
          </w:p>
        </w:tc>
        <w:tc>
          <w:tcPr>
            <w:tcW w:w="1768"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34E9767A" w14:textId="77777777" w:rsidR="00491F9E" w:rsidRDefault="00D4055E" w:rsidP="00FA35C4">
            <w:pPr>
              <w:jc w:val="center"/>
            </w:pPr>
            <w:r>
              <w:rPr>
                <w:b/>
                <w:bCs/>
                <w:sz w:val="20"/>
                <w:szCs w:val="20"/>
              </w:rPr>
              <w:t>Publisher Count</w:t>
            </w:r>
          </w:p>
        </w:tc>
        <w:tc>
          <w:tcPr>
            <w:tcW w:w="4823"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7B72E6C1" w14:textId="77777777" w:rsidR="00491F9E" w:rsidRDefault="00D4055E">
            <w:r>
              <w:rPr>
                <w:b/>
                <w:bCs/>
                <w:sz w:val="20"/>
                <w:szCs w:val="20"/>
              </w:rPr>
              <w:t>Description</w:t>
            </w:r>
          </w:p>
        </w:tc>
      </w:tr>
      <w:tr w:rsidR="00491F9E" w14:paraId="4723662E" w14:textId="77777777">
        <w:tc>
          <w:tcPr>
            <w:tcW w:w="276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96B935" w14:textId="77777777" w:rsidR="00491F9E" w:rsidRDefault="00D4055E">
            <w:r>
              <w:rPr>
                <w:sz w:val="20"/>
                <w:szCs w:val="20"/>
              </w:rPr>
              <w:t>10–11 (Excellent)</w:t>
            </w:r>
          </w:p>
        </w:tc>
        <w:tc>
          <w:tcPr>
            <w:tcW w:w="176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4BEF89" w14:textId="77777777" w:rsidR="00491F9E" w:rsidRDefault="00D4055E" w:rsidP="00FA35C4">
            <w:pPr>
              <w:jc w:val="center"/>
            </w:pPr>
            <w:r>
              <w:rPr>
                <w:sz w:val="20"/>
                <w:szCs w:val="20"/>
              </w:rPr>
              <w:t>6</w:t>
            </w:r>
          </w:p>
        </w:tc>
        <w:tc>
          <w:tcPr>
            <w:tcW w:w="482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313DF9" w14:textId="77777777" w:rsidR="00491F9E" w:rsidRDefault="00D4055E">
            <w:r>
              <w:rPr>
                <w:sz w:val="20"/>
                <w:szCs w:val="20"/>
              </w:rPr>
              <w:t>Comprehensive, user-focused statements</w:t>
            </w:r>
          </w:p>
        </w:tc>
      </w:tr>
      <w:tr w:rsidR="00491F9E" w14:paraId="2082E4BC" w14:textId="77777777">
        <w:tc>
          <w:tcPr>
            <w:tcW w:w="276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13BBB1" w14:textId="77777777" w:rsidR="00491F9E" w:rsidRDefault="00D4055E">
            <w:r>
              <w:rPr>
                <w:sz w:val="20"/>
                <w:szCs w:val="20"/>
              </w:rPr>
              <w:t>8–9 (Good)</w:t>
            </w:r>
          </w:p>
        </w:tc>
        <w:tc>
          <w:tcPr>
            <w:tcW w:w="176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144BFD" w14:textId="77777777" w:rsidR="00491F9E" w:rsidRDefault="00D4055E" w:rsidP="00FA35C4">
            <w:pPr>
              <w:jc w:val="center"/>
            </w:pPr>
            <w:r>
              <w:rPr>
                <w:sz w:val="20"/>
                <w:szCs w:val="20"/>
              </w:rPr>
              <w:t>1</w:t>
            </w:r>
          </w:p>
        </w:tc>
        <w:tc>
          <w:tcPr>
            <w:tcW w:w="482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B42F2E" w14:textId="77777777" w:rsidR="00491F9E" w:rsidRDefault="00D4055E">
            <w:r>
              <w:rPr>
                <w:sz w:val="20"/>
                <w:szCs w:val="20"/>
              </w:rPr>
              <w:t>Solid foundation with minor gaps</w:t>
            </w:r>
          </w:p>
        </w:tc>
      </w:tr>
      <w:tr w:rsidR="00491F9E" w14:paraId="1E687C47" w14:textId="77777777">
        <w:tc>
          <w:tcPr>
            <w:tcW w:w="276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8DBEC9" w14:textId="77777777" w:rsidR="00491F9E" w:rsidRDefault="00D4055E">
            <w:r>
              <w:rPr>
                <w:sz w:val="20"/>
                <w:szCs w:val="20"/>
              </w:rPr>
              <w:t>6–7 (Moderate)</w:t>
            </w:r>
          </w:p>
        </w:tc>
        <w:tc>
          <w:tcPr>
            <w:tcW w:w="176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DD1197" w14:textId="77777777" w:rsidR="00491F9E" w:rsidRDefault="00D4055E" w:rsidP="00FA35C4">
            <w:pPr>
              <w:jc w:val="center"/>
            </w:pPr>
            <w:r>
              <w:rPr>
                <w:sz w:val="20"/>
                <w:szCs w:val="20"/>
              </w:rPr>
              <w:t>4</w:t>
            </w:r>
          </w:p>
        </w:tc>
        <w:tc>
          <w:tcPr>
            <w:tcW w:w="482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F8AF43" w14:textId="77777777" w:rsidR="00491F9E" w:rsidRDefault="00D4055E">
            <w:r>
              <w:rPr>
                <w:sz w:val="20"/>
                <w:szCs w:val="20"/>
              </w:rPr>
              <w:t>Basic information present, opportunities to improve</w:t>
            </w:r>
          </w:p>
        </w:tc>
      </w:tr>
      <w:tr w:rsidR="00491F9E" w14:paraId="0B0A5259" w14:textId="77777777">
        <w:tc>
          <w:tcPr>
            <w:tcW w:w="276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746897" w14:textId="77777777" w:rsidR="00491F9E" w:rsidRDefault="00D4055E">
            <w:r>
              <w:rPr>
                <w:sz w:val="20"/>
                <w:szCs w:val="20"/>
              </w:rPr>
              <w:t>4–5 (Limited)</w:t>
            </w:r>
          </w:p>
        </w:tc>
        <w:tc>
          <w:tcPr>
            <w:tcW w:w="176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DD368E" w14:textId="77777777" w:rsidR="00491F9E" w:rsidRDefault="00D4055E" w:rsidP="00FA35C4">
            <w:pPr>
              <w:jc w:val="center"/>
            </w:pPr>
            <w:r>
              <w:rPr>
                <w:sz w:val="20"/>
                <w:szCs w:val="20"/>
              </w:rPr>
              <w:t>7</w:t>
            </w:r>
          </w:p>
        </w:tc>
        <w:tc>
          <w:tcPr>
            <w:tcW w:w="482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82CD49" w14:textId="77777777" w:rsidR="00491F9E" w:rsidRDefault="00D4055E">
            <w:r>
              <w:rPr>
                <w:sz w:val="20"/>
                <w:szCs w:val="20"/>
              </w:rPr>
              <w:t>Significant gaps in communication</w:t>
            </w:r>
          </w:p>
        </w:tc>
      </w:tr>
      <w:tr w:rsidR="00491F9E" w14:paraId="2BF7929C" w14:textId="77777777">
        <w:tc>
          <w:tcPr>
            <w:tcW w:w="276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05D83B" w14:textId="77777777" w:rsidR="00491F9E" w:rsidRDefault="00D4055E">
            <w:r>
              <w:rPr>
                <w:sz w:val="20"/>
                <w:szCs w:val="20"/>
              </w:rPr>
              <w:t>0–3 (Poor)</w:t>
            </w:r>
          </w:p>
        </w:tc>
        <w:tc>
          <w:tcPr>
            <w:tcW w:w="176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45163E" w14:textId="77777777" w:rsidR="00491F9E" w:rsidRDefault="00D4055E" w:rsidP="00FA35C4">
            <w:pPr>
              <w:jc w:val="center"/>
            </w:pPr>
            <w:r>
              <w:rPr>
                <w:sz w:val="20"/>
                <w:szCs w:val="20"/>
              </w:rPr>
              <w:t>7</w:t>
            </w:r>
          </w:p>
        </w:tc>
        <w:tc>
          <w:tcPr>
            <w:tcW w:w="482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7314F2" w14:textId="77777777" w:rsidR="00491F9E" w:rsidRDefault="00D4055E">
            <w:r>
              <w:rPr>
                <w:sz w:val="20"/>
                <w:szCs w:val="20"/>
              </w:rPr>
              <w:t>Minimal or absent accessibility communication</w:t>
            </w:r>
          </w:p>
        </w:tc>
      </w:tr>
    </w:tbl>
    <w:p w14:paraId="53C0268A" w14:textId="77777777" w:rsidR="00491F9E" w:rsidRDefault="00491F9E">
      <w:pPr>
        <w:spacing w:before="200"/>
      </w:pPr>
    </w:p>
    <w:p w14:paraId="0D935AFF" w14:textId="77777777" w:rsidR="00491F9E" w:rsidRDefault="00D4055E">
      <w:pPr>
        <w:pStyle w:val="Heading3"/>
      </w:pPr>
      <w:r>
        <w:rPr>
          <w:b/>
          <w:bCs/>
          <w:sz w:val="28"/>
          <w:szCs w:val="28"/>
        </w:rPr>
        <w:t>Indicator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99"/>
        <w:gridCol w:w="1500"/>
        <w:gridCol w:w="1800"/>
        <w:gridCol w:w="2559"/>
      </w:tblGrid>
      <w:tr w:rsidR="00491F9E" w14:paraId="3CE6EB42" w14:textId="77777777" w:rsidTr="00FA35C4">
        <w:tc>
          <w:tcPr>
            <w:tcW w:w="3499"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69169A76" w14:textId="77777777" w:rsidR="00491F9E" w:rsidRDefault="00D4055E">
            <w:r>
              <w:rPr>
                <w:b/>
                <w:bCs/>
                <w:sz w:val="20"/>
                <w:szCs w:val="20"/>
              </w:rPr>
              <w:t>Indicator</w:t>
            </w:r>
          </w:p>
        </w:tc>
        <w:tc>
          <w:tcPr>
            <w:tcW w:w="15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2330990E" w14:textId="77777777" w:rsidR="00491F9E" w:rsidRDefault="00D4055E" w:rsidP="00FA35C4">
            <w:pPr>
              <w:jc w:val="center"/>
            </w:pPr>
            <w:r>
              <w:rPr>
                <w:b/>
                <w:bCs/>
                <w:sz w:val="20"/>
                <w:szCs w:val="20"/>
              </w:rPr>
              <w:t>Max Score</w:t>
            </w:r>
          </w:p>
        </w:tc>
        <w:tc>
          <w:tcPr>
            <w:tcW w:w="18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1A6C6F0D" w14:textId="77777777" w:rsidR="00491F9E" w:rsidRDefault="00D4055E" w:rsidP="00FA35C4">
            <w:pPr>
              <w:jc w:val="center"/>
            </w:pPr>
            <w:r>
              <w:rPr>
                <w:b/>
                <w:bCs/>
                <w:sz w:val="20"/>
                <w:szCs w:val="20"/>
              </w:rPr>
              <w:t>Average Score</w:t>
            </w:r>
          </w:p>
        </w:tc>
        <w:tc>
          <w:tcPr>
            <w:tcW w:w="2559"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4CED0BB5" w14:textId="77777777" w:rsidR="00491F9E" w:rsidRDefault="00D4055E" w:rsidP="00FA35C4">
            <w:pPr>
              <w:jc w:val="center"/>
            </w:pPr>
            <w:r>
              <w:rPr>
                <w:b/>
                <w:bCs/>
                <w:sz w:val="20"/>
                <w:szCs w:val="20"/>
              </w:rPr>
              <w:t>% Achieved</w:t>
            </w:r>
          </w:p>
        </w:tc>
      </w:tr>
      <w:tr w:rsidR="00491F9E" w14:paraId="196A8C8C" w14:textId="77777777">
        <w:tc>
          <w:tcPr>
            <w:tcW w:w="349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DC07EA" w14:textId="77777777" w:rsidR="00491F9E" w:rsidRDefault="00D4055E">
            <w:r>
              <w:rPr>
                <w:sz w:val="20"/>
                <w:szCs w:val="20"/>
              </w:rPr>
              <w:t>Discoverability</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2853AD" w14:textId="77777777" w:rsidR="00491F9E" w:rsidRDefault="00D4055E" w:rsidP="00FA35C4">
            <w:pPr>
              <w:jc w:val="center"/>
            </w:pPr>
            <w:r>
              <w:rPr>
                <w:sz w:val="20"/>
                <w:szCs w:val="20"/>
              </w:rPr>
              <w:t>2</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1F127B" w14:textId="77777777" w:rsidR="00491F9E" w:rsidRDefault="00D4055E" w:rsidP="00FA35C4">
            <w:pPr>
              <w:jc w:val="center"/>
            </w:pPr>
            <w:r>
              <w:rPr>
                <w:sz w:val="20"/>
                <w:szCs w:val="20"/>
              </w:rPr>
              <w:t>1.60</w:t>
            </w:r>
          </w:p>
        </w:tc>
        <w:tc>
          <w:tcPr>
            <w:tcW w:w="255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14C230" w14:textId="77777777" w:rsidR="00491F9E" w:rsidRDefault="00D4055E" w:rsidP="00FA35C4">
            <w:pPr>
              <w:jc w:val="center"/>
            </w:pPr>
            <w:r>
              <w:rPr>
                <w:sz w:val="20"/>
                <w:szCs w:val="20"/>
              </w:rPr>
              <w:t>80%</w:t>
            </w:r>
          </w:p>
        </w:tc>
      </w:tr>
      <w:tr w:rsidR="00491F9E" w14:paraId="2ADAD5A9" w14:textId="77777777">
        <w:tc>
          <w:tcPr>
            <w:tcW w:w="349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9E99EC" w14:textId="77777777" w:rsidR="00491F9E" w:rsidRDefault="00D4055E">
            <w:r>
              <w:rPr>
                <w:sz w:val="20"/>
                <w:szCs w:val="20"/>
              </w:rPr>
              <w:t>Currency</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83BC05" w14:textId="77777777" w:rsidR="00491F9E" w:rsidRDefault="00D4055E" w:rsidP="00FA35C4">
            <w:pPr>
              <w:jc w:val="center"/>
            </w:pPr>
            <w:r>
              <w:rPr>
                <w:sz w:val="20"/>
                <w:szCs w:val="20"/>
              </w:rPr>
              <w:t>2</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D0B1A7" w14:textId="77777777" w:rsidR="00491F9E" w:rsidRDefault="00D4055E" w:rsidP="00FA35C4">
            <w:pPr>
              <w:jc w:val="center"/>
            </w:pPr>
            <w:r>
              <w:rPr>
                <w:sz w:val="20"/>
                <w:szCs w:val="20"/>
              </w:rPr>
              <w:t>0.52</w:t>
            </w:r>
          </w:p>
        </w:tc>
        <w:tc>
          <w:tcPr>
            <w:tcW w:w="255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3C4975" w14:textId="77777777" w:rsidR="00491F9E" w:rsidRDefault="00D4055E" w:rsidP="00FA35C4">
            <w:pPr>
              <w:jc w:val="center"/>
            </w:pPr>
            <w:r>
              <w:rPr>
                <w:sz w:val="20"/>
                <w:szCs w:val="20"/>
              </w:rPr>
              <w:t>26%</w:t>
            </w:r>
          </w:p>
        </w:tc>
      </w:tr>
      <w:tr w:rsidR="00491F9E" w14:paraId="237313A1" w14:textId="77777777">
        <w:tc>
          <w:tcPr>
            <w:tcW w:w="349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438B2A" w14:textId="77777777" w:rsidR="00491F9E" w:rsidRDefault="00D4055E">
            <w:r>
              <w:rPr>
                <w:sz w:val="20"/>
                <w:szCs w:val="20"/>
              </w:rPr>
              <w:t>Contact</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3E8AC5" w14:textId="77777777" w:rsidR="00491F9E" w:rsidRDefault="00D4055E" w:rsidP="00FA35C4">
            <w:pPr>
              <w:jc w:val="center"/>
            </w:pPr>
            <w:r>
              <w:rPr>
                <w:sz w:val="20"/>
                <w:szCs w:val="20"/>
              </w:rPr>
              <w:t>2</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5E9077" w14:textId="77777777" w:rsidR="00491F9E" w:rsidRDefault="00D4055E" w:rsidP="00FA35C4">
            <w:pPr>
              <w:jc w:val="center"/>
            </w:pPr>
            <w:r>
              <w:rPr>
                <w:sz w:val="20"/>
                <w:szCs w:val="20"/>
              </w:rPr>
              <w:t>1.44</w:t>
            </w:r>
          </w:p>
        </w:tc>
        <w:tc>
          <w:tcPr>
            <w:tcW w:w="255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D90A75" w14:textId="77777777" w:rsidR="00491F9E" w:rsidRDefault="00D4055E" w:rsidP="00FA35C4">
            <w:pPr>
              <w:jc w:val="center"/>
            </w:pPr>
            <w:r>
              <w:rPr>
                <w:sz w:val="20"/>
                <w:szCs w:val="20"/>
              </w:rPr>
              <w:t>72%</w:t>
            </w:r>
          </w:p>
        </w:tc>
      </w:tr>
      <w:tr w:rsidR="00491F9E" w14:paraId="29F8A2A1" w14:textId="77777777">
        <w:tc>
          <w:tcPr>
            <w:tcW w:w="349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C4DB56" w14:textId="77777777" w:rsidR="00491F9E" w:rsidRDefault="00D4055E">
            <w:r>
              <w:rPr>
                <w:sz w:val="20"/>
                <w:szCs w:val="20"/>
              </w:rPr>
              <w:t>Formats</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1F2F88" w14:textId="77777777" w:rsidR="00491F9E" w:rsidRDefault="00D4055E" w:rsidP="00FA35C4">
            <w:pPr>
              <w:jc w:val="center"/>
            </w:pPr>
            <w:r>
              <w:rPr>
                <w:sz w:val="20"/>
                <w:szCs w:val="20"/>
              </w:rPr>
              <w:t>2</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6F6493" w14:textId="77777777" w:rsidR="00491F9E" w:rsidRDefault="00D4055E" w:rsidP="00FA35C4">
            <w:pPr>
              <w:jc w:val="center"/>
            </w:pPr>
            <w:r>
              <w:rPr>
                <w:sz w:val="20"/>
                <w:szCs w:val="20"/>
              </w:rPr>
              <w:t>1.00</w:t>
            </w:r>
          </w:p>
        </w:tc>
        <w:tc>
          <w:tcPr>
            <w:tcW w:w="255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723219" w14:textId="77777777" w:rsidR="00491F9E" w:rsidRDefault="00D4055E" w:rsidP="00FA35C4">
            <w:pPr>
              <w:jc w:val="center"/>
            </w:pPr>
            <w:r>
              <w:rPr>
                <w:sz w:val="20"/>
                <w:szCs w:val="20"/>
              </w:rPr>
              <w:t>50%</w:t>
            </w:r>
          </w:p>
        </w:tc>
      </w:tr>
      <w:tr w:rsidR="00491F9E" w14:paraId="6C0B14D0" w14:textId="77777777">
        <w:tc>
          <w:tcPr>
            <w:tcW w:w="349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83C125" w14:textId="77777777" w:rsidR="00491F9E" w:rsidRDefault="00D4055E">
            <w:r>
              <w:rPr>
                <w:sz w:val="20"/>
                <w:szCs w:val="20"/>
              </w:rPr>
              <w:t>Image Descriptions</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958D4B" w14:textId="77777777" w:rsidR="00491F9E" w:rsidRDefault="00D4055E" w:rsidP="00FA35C4">
            <w:pPr>
              <w:jc w:val="center"/>
            </w:pPr>
            <w:r>
              <w:rPr>
                <w:sz w:val="20"/>
                <w:szCs w:val="20"/>
              </w:rPr>
              <w:t>3</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5A62D2" w14:textId="77777777" w:rsidR="00491F9E" w:rsidRDefault="00D4055E" w:rsidP="00FA35C4">
            <w:pPr>
              <w:jc w:val="center"/>
            </w:pPr>
            <w:r>
              <w:rPr>
                <w:sz w:val="20"/>
                <w:szCs w:val="20"/>
              </w:rPr>
              <w:t>0.96</w:t>
            </w:r>
          </w:p>
        </w:tc>
        <w:tc>
          <w:tcPr>
            <w:tcW w:w="255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8DCD55" w14:textId="77777777" w:rsidR="00491F9E" w:rsidRDefault="00D4055E" w:rsidP="00FA35C4">
            <w:pPr>
              <w:jc w:val="center"/>
            </w:pPr>
            <w:r>
              <w:rPr>
                <w:sz w:val="20"/>
                <w:szCs w:val="20"/>
              </w:rPr>
              <w:t>32%</w:t>
            </w:r>
          </w:p>
        </w:tc>
      </w:tr>
    </w:tbl>
    <w:p w14:paraId="002A4EBA" w14:textId="77777777" w:rsidR="00491F9E" w:rsidRDefault="00491F9E">
      <w:pPr>
        <w:spacing w:before="200"/>
      </w:pPr>
    </w:p>
    <w:p w14:paraId="721ADD0E" w14:textId="77777777" w:rsidR="00491F9E" w:rsidRDefault="00D4055E">
      <w:pPr>
        <w:spacing w:after="200"/>
      </w:pPr>
      <w:r>
        <w:t>Discoverability (80%) and Contact (72%) are the strongest indicators. Currency and Image Descriptions are the weakest, achieving just 26% and 32% of maximum points respectively — representing the clearest opportunities for improvement.</w:t>
      </w:r>
    </w:p>
    <w:p w14:paraId="0B9F57BA" w14:textId="77777777" w:rsidR="00491F9E" w:rsidRDefault="00D4055E">
      <w:r>
        <w:br w:type="page"/>
      </w:r>
    </w:p>
    <w:p w14:paraId="7AF5432C" w14:textId="77777777" w:rsidR="00491F9E" w:rsidRDefault="00D4055E">
      <w:pPr>
        <w:pStyle w:val="Heading3"/>
      </w:pPr>
      <w:r>
        <w:rPr>
          <w:b/>
          <w:bCs/>
          <w:sz w:val="28"/>
          <w:szCs w:val="28"/>
        </w:rPr>
        <w:lastRenderedPageBreak/>
        <w:t>Patterns We Observed</w:t>
      </w:r>
    </w:p>
    <w:p w14:paraId="2E1EEF90" w14:textId="77777777" w:rsidR="00491F9E" w:rsidRDefault="00D4055E">
      <w:pPr>
        <w:spacing w:after="160"/>
      </w:pPr>
      <w:r>
        <w:rPr>
          <w:b/>
          <w:bCs/>
          <w:sz w:val="24"/>
          <w:szCs w:val="24"/>
        </w:rPr>
        <w:t>1. ASPIRE review helps publishers tell their story</w:t>
      </w:r>
    </w:p>
    <w:p w14:paraId="73D93576" w14:textId="77777777" w:rsidR="00491F9E" w:rsidRDefault="00D4055E">
      <w:pPr>
        <w:spacing w:after="200"/>
      </w:pPr>
      <w:r>
        <w:t>Four publishers in this survey have previously undergone ASPIRE review and achieved Gold certification. While it's unsurprising that publishers who engaged with the ASPIRE process perform well against ASPIRE criteria, their results demonstrate what focused attention on accessibility communication can achieve: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8"/>
        <w:gridCol w:w="2340"/>
        <w:gridCol w:w="2340"/>
      </w:tblGrid>
      <w:tr w:rsidR="00491F9E" w14:paraId="50D5A6A0" w14:textId="77777777" w:rsidTr="00712537">
        <w:tc>
          <w:tcPr>
            <w:tcW w:w="468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6EE4DB03" w14:textId="77777777" w:rsidR="00491F9E" w:rsidRDefault="00D4055E">
            <w:r>
              <w:rPr>
                <w:b/>
                <w:bCs/>
                <w:sz w:val="20"/>
                <w:szCs w:val="20"/>
              </w:rPr>
              <w:t>Group</w:t>
            </w:r>
          </w:p>
        </w:tc>
        <w:tc>
          <w:tcPr>
            <w:tcW w:w="234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5CB2F8B3" w14:textId="77777777" w:rsidR="00491F9E" w:rsidRDefault="00D4055E" w:rsidP="00712537">
            <w:pPr>
              <w:jc w:val="center"/>
            </w:pPr>
            <w:r>
              <w:rPr>
                <w:b/>
                <w:bCs/>
                <w:sz w:val="20"/>
                <w:szCs w:val="20"/>
              </w:rPr>
              <w:t>Average Score</w:t>
            </w:r>
          </w:p>
        </w:tc>
        <w:tc>
          <w:tcPr>
            <w:tcW w:w="234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58FBD98C" w14:textId="77777777" w:rsidR="00491F9E" w:rsidRDefault="00D4055E" w:rsidP="00712537">
            <w:pPr>
              <w:jc w:val="center"/>
            </w:pPr>
            <w:r>
              <w:rPr>
                <w:b/>
                <w:bCs/>
                <w:sz w:val="20"/>
                <w:szCs w:val="20"/>
              </w:rPr>
              <w:t>Percentage</w:t>
            </w:r>
          </w:p>
        </w:tc>
      </w:tr>
      <w:tr w:rsidR="00491F9E" w14:paraId="5E2860C7" w14:textId="77777777">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662F01" w14:textId="77777777" w:rsidR="00491F9E" w:rsidRDefault="00D4055E">
            <w:r>
              <w:rPr>
                <w:sz w:val="20"/>
                <w:szCs w:val="20"/>
              </w:rPr>
              <w:t>ASPIRE Gold (4)</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25FBE5" w14:textId="77777777" w:rsidR="00491F9E" w:rsidRDefault="00D4055E">
            <w:pPr>
              <w:jc w:val="center"/>
            </w:pPr>
            <w:r>
              <w:rPr>
                <w:sz w:val="20"/>
                <w:szCs w:val="20"/>
              </w:rPr>
              <w:t>10.0/11</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3D8BC9" w14:textId="77777777" w:rsidR="00491F9E" w:rsidRDefault="00D4055E">
            <w:pPr>
              <w:jc w:val="center"/>
            </w:pPr>
            <w:r>
              <w:rPr>
                <w:sz w:val="20"/>
                <w:szCs w:val="20"/>
              </w:rPr>
              <w:t>91%</w:t>
            </w:r>
          </w:p>
        </w:tc>
      </w:tr>
      <w:tr w:rsidR="00491F9E" w14:paraId="57948FA8" w14:textId="77777777">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15AC6D" w14:textId="77777777" w:rsidR="00491F9E" w:rsidRDefault="00D4055E">
            <w:r>
              <w:rPr>
                <w:sz w:val="20"/>
                <w:szCs w:val="20"/>
              </w:rPr>
              <w:t>All other publishers (21)</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84AE49" w14:textId="77777777" w:rsidR="00491F9E" w:rsidRDefault="00D4055E">
            <w:pPr>
              <w:jc w:val="center"/>
            </w:pPr>
            <w:r>
              <w:rPr>
                <w:sz w:val="20"/>
                <w:szCs w:val="20"/>
              </w:rPr>
              <w:t>4.7/11</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1EF471" w14:textId="77777777" w:rsidR="00491F9E" w:rsidRDefault="00D4055E">
            <w:pPr>
              <w:jc w:val="center"/>
            </w:pPr>
            <w:r>
              <w:rPr>
                <w:sz w:val="20"/>
                <w:szCs w:val="20"/>
              </w:rPr>
              <w:t>42%</w:t>
            </w:r>
          </w:p>
        </w:tc>
      </w:tr>
    </w:tbl>
    <w:p w14:paraId="7957FC91" w14:textId="77777777" w:rsidR="00491F9E" w:rsidRDefault="00491F9E">
      <w:pPr>
        <w:spacing w:before="200"/>
      </w:pPr>
    </w:p>
    <w:p w14:paraId="3F812D07" w14:textId="77777777" w:rsidR="00491F9E" w:rsidRDefault="00D4055E">
      <w:pPr>
        <w:spacing w:after="200"/>
      </w:pPr>
      <w:r>
        <w:t>The value of ASPIRE review lies in the process itself: a structured assessment that identifies gaps, provides specific recommendations, and helps publishers communicate their accessibility work effectively. The results show what's achievable when publishers invest in their accessibility statements.</w:t>
      </w:r>
    </w:p>
    <w:p w14:paraId="59A9442D" w14:textId="77777777" w:rsidR="00491F9E" w:rsidRDefault="00D4055E">
      <w:pPr>
        <w:spacing w:after="200"/>
      </w:pPr>
      <w:r>
        <w:t>The improvement is consistent across all five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2339"/>
        <w:gridCol w:w="2339"/>
        <w:gridCol w:w="1560"/>
      </w:tblGrid>
      <w:tr w:rsidR="00491F9E" w14:paraId="39C454D2" w14:textId="77777777" w:rsidTr="00712537">
        <w:tc>
          <w:tcPr>
            <w:tcW w:w="312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4DA95BFF" w14:textId="77777777" w:rsidR="00491F9E" w:rsidRDefault="00D4055E">
            <w:r>
              <w:rPr>
                <w:b/>
                <w:bCs/>
                <w:sz w:val="20"/>
                <w:szCs w:val="20"/>
              </w:rPr>
              <w:t>Indicator</w:t>
            </w:r>
          </w:p>
        </w:tc>
        <w:tc>
          <w:tcPr>
            <w:tcW w:w="234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753B23D2" w14:textId="77777777" w:rsidR="00491F9E" w:rsidRDefault="00D4055E" w:rsidP="00712537">
            <w:pPr>
              <w:jc w:val="center"/>
            </w:pPr>
            <w:r>
              <w:rPr>
                <w:b/>
                <w:bCs/>
                <w:sz w:val="20"/>
                <w:szCs w:val="20"/>
              </w:rPr>
              <w:t>ASPIRE Gold</w:t>
            </w:r>
          </w:p>
        </w:tc>
        <w:tc>
          <w:tcPr>
            <w:tcW w:w="234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78DA157D" w14:textId="77777777" w:rsidR="00491F9E" w:rsidRDefault="00D4055E" w:rsidP="00712537">
            <w:pPr>
              <w:jc w:val="center"/>
            </w:pPr>
            <w:r>
              <w:rPr>
                <w:b/>
                <w:bCs/>
                <w:sz w:val="20"/>
                <w:szCs w:val="20"/>
              </w:rPr>
              <w:t>Others</w:t>
            </w:r>
          </w:p>
        </w:tc>
        <w:tc>
          <w:tcPr>
            <w:tcW w:w="156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61775352" w14:textId="77777777" w:rsidR="00491F9E" w:rsidRDefault="00D4055E" w:rsidP="00712537">
            <w:pPr>
              <w:jc w:val="center"/>
            </w:pPr>
            <w:r>
              <w:rPr>
                <w:b/>
                <w:bCs/>
                <w:sz w:val="20"/>
                <w:szCs w:val="20"/>
              </w:rPr>
              <w:t>Gap</w:t>
            </w:r>
          </w:p>
        </w:tc>
      </w:tr>
      <w:tr w:rsidR="00491F9E" w14:paraId="0FA4D356" w14:textId="77777777">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F6C293" w14:textId="77777777" w:rsidR="00491F9E" w:rsidRDefault="00D4055E">
            <w:r>
              <w:rPr>
                <w:sz w:val="20"/>
                <w:szCs w:val="20"/>
              </w:rPr>
              <w:t>Discoverability</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93436B" w14:textId="77777777" w:rsidR="00491F9E" w:rsidRDefault="00D4055E">
            <w:pPr>
              <w:jc w:val="center"/>
            </w:pPr>
            <w:r>
              <w:rPr>
                <w:sz w:val="20"/>
                <w:szCs w:val="20"/>
              </w:rPr>
              <w:t>100%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8E1453" w14:textId="77777777" w:rsidR="00491F9E" w:rsidRDefault="00D4055E">
            <w:pPr>
              <w:jc w:val="center"/>
            </w:pPr>
            <w:r>
              <w:rPr>
                <w:sz w:val="20"/>
                <w:szCs w:val="20"/>
              </w:rPr>
              <w:t>76%</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AE6D54" w14:textId="77777777" w:rsidR="00491F9E" w:rsidRDefault="00D4055E">
            <w:pPr>
              <w:jc w:val="center"/>
            </w:pPr>
            <w:r>
              <w:rPr>
                <w:sz w:val="20"/>
                <w:szCs w:val="20"/>
              </w:rPr>
              <w:t>+24</w:t>
            </w:r>
          </w:p>
        </w:tc>
      </w:tr>
      <w:tr w:rsidR="00491F9E" w14:paraId="1ADC02B6" w14:textId="77777777">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4C36FA" w14:textId="77777777" w:rsidR="00491F9E" w:rsidRDefault="00D4055E">
            <w:r>
              <w:rPr>
                <w:sz w:val="20"/>
                <w:szCs w:val="20"/>
              </w:rPr>
              <w:t>Currency</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E5D928" w14:textId="77777777" w:rsidR="00491F9E" w:rsidRDefault="00D4055E">
            <w:pPr>
              <w:jc w:val="center"/>
            </w:pPr>
            <w:r>
              <w:rPr>
                <w:sz w:val="20"/>
                <w:szCs w:val="20"/>
              </w:rPr>
              <w:t>75%</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C8A02F" w14:textId="77777777" w:rsidR="00491F9E" w:rsidRDefault="00D4055E">
            <w:pPr>
              <w:jc w:val="center"/>
            </w:pPr>
            <w:r>
              <w:rPr>
                <w:sz w:val="20"/>
                <w:szCs w:val="20"/>
              </w:rPr>
              <w:t>17%</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B5FDF3" w14:textId="77777777" w:rsidR="00491F9E" w:rsidRDefault="00D4055E">
            <w:pPr>
              <w:jc w:val="center"/>
            </w:pPr>
            <w:r>
              <w:rPr>
                <w:sz w:val="20"/>
                <w:szCs w:val="20"/>
              </w:rPr>
              <w:t>+58</w:t>
            </w:r>
          </w:p>
        </w:tc>
      </w:tr>
      <w:tr w:rsidR="00491F9E" w14:paraId="172402FC" w14:textId="77777777">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60B2C6" w14:textId="77777777" w:rsidR="00491F9E" w:rsidRDefault="00D4055E">
            <w:r>
              <w:rPr>
                <w:sz w:val="20"/>
                <w:szCs w:val="20"/>
              </w:rPr>
              <w:t>Contact</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B71850" w14:textId="77777777" w:rsidR="00491F9E" w:rsidRDefault="00D4055E">
            <w:pPr>
              <w:jc w:val="center"/>
            </w:pPr>
            <w:r>
              <w:rPr>
                <w:sz w:val="20"/>
                <w:szCs w:val="20"/>
              </w:rPr>
              <w:t>100%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2CB2B8" w14:textId="77777777" w:rsidR="00491F9E" w:rsidRDefault="00D4055E">
            <w:pPr>
              <w:jc w:val="center"/>
            </w:pPr>
            <w:r>
              <w:rPr>
                <w:sz w:val="20"/>
                <w:szCs w:val="20"/>
              </w:rPr>
              <w:t>67%</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D107C6" w14:textId="77777777" w:rsidR="00491F9E" w:rsidRDefault="00D4055E">
            <w:pPr>
              <w:jc w:val="center"/>
            </w:pPr>
            <w:r>
              <w:rPr>
                <w:sz w:val="20"/>
                <w:szCs w:val="20"/>
              </w:rPr>
              <w:t>+33</w:t>
            </w:r>
          </w:p>
        </w:tc>
      </w:tr>
      <w:tr w:rsidR="00491F9E" w14:paraId="2776109A" w14:textId="77777777">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933F08" w14:textId="77777777" w:rsidR="00491F9E" w:rsidRDefault="00D4055E">
            <w:r>
              <w:rPr>
                <w:sz w:val="20"/>
                <w:szCs w:val="20"/>
              </w:rPr>
              <w:t>Formats</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E60CAB" w14:textId="77777777" w:rsidR="00491F9E" w:rsidRDefault="00D4055E">
            <w:pPr>
              <w:jc w:val="center"/>
            </w:pPr>
            <w:r>
              <w:rPr>
                <w:sz w:val="20"/>
                <w:szCs w:val="20"/>
              </w:rPr>
              <w:t>100%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80D224" w14:textId="77777777" w:rsidR="00491F9E" w:rsidRDefault="00D4055E">
            <w:pPr>
              <w:jc w:val="center"/>
            </w:pPr>
            <w:r>
              <w:rPr>
                <w:sz w:val="20"/>
                <w:szCs w:val="20"/>
              </w:rPr>
              <w:t>40%</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0A76A3" w14:textId="77777777" w:rsidR="00491F9E" w:rsidRDefault="00D4055E">
            <w:pPr>
              <w:jc w:val="center"/>
            </w:pPr>
            <w:r>
              <w:rPr>
                <w:sz w:val="20"/>
                <w:szCs w:val="20"/>
              </w:rPr>
              <w:t>+60</w:t>
            </w:r>
          </w:p>
        </w:tc>
      </w:tr>
      <w:tr w:rsidR="00491F9E" w14:paraId="31693182" w14:textId="77777777">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679F10" w14:textId="77777777" w:rsidR="00491F9E" w:rsidRDefault="00D4055E">
            <w:r>
              <w:rPr>
                <w:sz w:val="20"/>
                <w:szCs w:val="20"/>
              </w:rPr>
              <w:t>Image Descriptions</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4E0EB7" w14:textId="77777777" w:rsidR="00491F9E" w:rsidRDefault="00D4055E">
            <w:pPr>
              <w:jc w:val="center"/>
            </w:pPr>
            <w:r>
              <w:rPr>
                <w:sz w:val="20"/>
                <w:szCs w:val="20"/>
              </w:rPr>
              <w:t>83%</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975D85" w14:textId="77777777" w:rsidR="00491F9E" w:rsidRDefault="00D4055E">
            <w:pPr>
              <w:jc w:val="center"/>
            </w:pPr>
            <w:r>
              <w:rPr>
                <w:sz w:val="20"/>
                <w:szCs w:val="20"/>
              </w:rPr>
              <w:t>22%</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EB8564" w14:textId="77777777" w:rsidR="00491F9E" w:rsidRDefault="00D4055E">
            <w:pPr>
              <w:jc w:val="center"/>
            </w:pPr>
            <w:r>
              <w:rPr>
                <w:sz w:val="20"/>
                <w:szCs w:val="20"/>
              </w:rPr>
              <w:t>+61</w:t>
            </w:r>
          </w:p>
        </w:tc>
      </w:tr>
    </w:tbl>
    <w:p w14:paraId="2B9D1C73" w14:textId="77777777" w:rsidR="00491F9E" w:rsidRDefault="00491F9E">
      <w:pPr>
        <w:spacing w:before="200"/>
      </w:pPr>
    </w:p>
    <w:p w14:paraId="7F4D3A45" w14:textId="2333F34B" w:rsidR="005A4B75" w:rsidRPr="00802A5B" w:rsidRDefault="005A4B75">
      <w:pPr>
        <w:spacing w:after="200"/>
      </w:pPr>
      <w:r w:rsidRPr="00802A5B">
        <w:t>Th</w:t>
      </w:r>
      <w:r w:rsidR="005D10E3">
        <w:t>is</w:t>
      </w:r>
      <w:r w:rsidRPr="00802A5B">
        <w:t xml:space="preserve"> difference is visible across all five indicators:</w:t>
      </w:r>
    </w:p>
    <w:p w14:paraId="4B738914" w14:textId="2B8CC53C" w:rsidR="00F9281F" w:rsidRDefault="000A5316" w:rsidP="000A5316">
      <w:pPr>
        <w:spacing w:after="200"/>
        <w:jc w:val="center"/>
      </w:pPr>
      <w:r w:rsidRPr="000A5316">
        <w:rPr>
          <w:noProof/>
        </w:rPr>
        <w:lastRenderedPageBreak/>
        <w:drawing>
          <wp:inline distT="0" distB="0" distL="0" distR="0" wp14:anchorId="5277572D" wp14:editId="700C8CB1">
            <wp:extent cx="4122420" cy="4788792"/>
            <wp:effectExtent l="0" t="0" r="0" b="0"/>
            <wp:docPr id="501709644" name="Picture 1" descr="A full image description of this radar chart is provided in the description annex at the end of thi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09644" name="Picture 1" descr="A full image description of this radar chart is provided in the description annex at the end of this report."/>
                    <pic:cNvPicPr/>
                  </pic:nvPicPr>
                  <pic:blipFill>
                    <a:blip r:embed="rId6"/>
                    <a:stretch>
                      <a:fillRect/>
                    </a:stretch>
                  </pic:blipFill>
                  <pic:spPr>
                    <a:xfrm>
                      <a:off x="0" y="0"/>
                      <a:ext cx="4138500" cy="4807471"/>
                    </a:xfrm>
                    <a:prstGeom prst="rect">
                      <a:avLst/>
                    </a:prstGeom>
                  </pic:spPr>
                </pic:pic>
              </a:graphicData>
            </a:graphic>
          </wp:inline>
        </w:drawing>
      </w:r>
    </w:p>
    <w:p w14:paraId="099282A4" w14:textId="77777777" w:rsidR="00F9281F" w:rsidRDefault="00F9281F">
      <w:pPr>
        <w:spacing w:after="200"/>
      </w:pPr>
    </w:p>
    <w:p w14:paraId="30A7D08E" w14:textId="77777777" w:rsidR="00802A5B" w:rsidRDefault="00802A5B" w:rsidP="00802A5B">
      <w:pPr>
        <w:spacing w:after="200"/>
      </w:pPr>
      <w:r>
        <w:t>One ASPIRE Gold publisher holds neither PAAG membership nor GCA certification — demonstrating that excellence in accessibility communication is achievable through focused attention on the statement itself, independent of other industry affiliations.</w:t>
      </w:r>
    </w:p>
    <w:p w14:paraId="0768D36D" w14:textId="77777777" w:rsidR="00491F9E" w:rsidRDefault="00D4055E">
      <w:pPr>
        <w:spacing w:before="240" w:after="160"/>
      </w:pPr>
      <w:r>
        <w:rPr>
          <w:b/>
          <w:bCs/>
          <w:sz w:val="24"/>
          <w:szCs w:val="24"/>
        </w:rPr>
        <w:t>2. The capability vs communication gap</w:t>
      </w:r>
    </w:p>
    <w:p w14:paraId="5B83AEB9" w14:textId="77777777" w:rsidR="00491F9E" w:rsidRDefault="00D4055E">
      <w:pPr>
        <w:spacing w:after="200"/>
      </w:pPr>
      <w:r>
        <w:t>GCA certification demonstrates that a publisher has implemented born-accessible ebook workflows. Yet despite this certified capability, GCA-certified publishers score only marginally higher on our communication indicators (5.7 vs 5.4 out of 11).</w:t>
      </w:r>
    </w:p>
    <w:p w14:paraId="65D2DCE6" w14:textId="77777777" w:rsidR="00491F9E" w:rsidRDefault="00D4055E">
      <w:pPr>
        <w:spacing w:after="200"/>
      </w:pPr>
      <w:r>
        <w:t>We found GCA-certified publishers at both extremes of our scoring range — reinforcing that production capability and communication transparency are independent variables. A publisher can have world-class accessible production workflows while providing users with almost no information about those capabilities.</w:t>
      </w:r>
    </w:p>
    <w:p w14:paraId="657160C2" w14:textId="77777777" w:rsidR="00491F9E" w:rsidRDefault="00D4055E">
      <w:pPr>
        <w:spacing w:before="240" w:after="160"/>
      </w:pPr>
      <w:r>
        <w:rPr>
          <w:b/>
          <w:bCs/>
          <w:sz w:val="24"/>
          <w:szCs w:val="24"/>
        </w:rPr>
        <w:t>3. PAAG membership correlates with transparency</w:t>
      </w:r>
    </w:p>
    <w:p w14:paraId="4999E052" w14:textId="77777777" w:rsidR="00491F9E" w:rsidRDefault="00D4055E">
      <w:pPr>
        <w:spacing w:after="200"/>
      </w:pPr>
      <w:r>
        <w:lastRenderedPageBreak/>
        <w:t>PAAG Charter signatories score significantly higher on average (7.3 vs 3.6 out of 11). The Charter's focus on embedding accessibility across the publishing ecosystem appears to translate into better communication practices.</w:t>
      </w:r>
    </w:p>
    <w:p w14:paraId="2F3F8E92" w14:textId="097DB8A3" w:rsidR="00491F9E" w:rsidRDefault="00D4055E">
      <w:pPr>
        <w:spacing w:after="200"/>
      </w:pPr>
      <w:r>
        <w:t xml:space="preserve">However, membership alone doesn't guarantee good communication. </w:t>
      </w:r>
      <w:r w:rsidR="00E37848">
        <w:t>Two</w:t>
      </w:r>
      <w:r>
        <w:t xml:space="preserve"> PAAG signatories score 4 or below, suggesting the Charter's commitments aren't yet consistently reflected in public statements.</w:t>
      </w:r>
    </w:p>
    <w:p w14:paraId="344D3648" w14:textId="77777777" w:rsidR="00491F9E" w:rsidRDefault="00D4055E">
      <w:pPr>
        <w:spacing w:after="200"/>
      </w:pPr>
      <w:r>
        <w:t>When we examine the interaction between PAAG and GCA status, the pattern becomes clearer:</w:t>
      </w: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3"/>
        <w:gridCol w:w="1861"/>
        <w:gridCol w:w="1861"/>
      </w:tblGrid>
      <w:tr w:rsidR="00491F9E" w14:paraId="62933565" w14:textId="77777777" w:rsidTr="00712537">
        <w:trPr>
          <w:jc w:val="center"/>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282753" w14:textId="77777777" w:rsidR="00491F9E" w:rsidRDefault="00491F9E"/>
        </w:tc>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4C795359" w14:textId="77777777" w:rsidR="00491F9E" w:rsidRDefault="00D4055E" w:rsidP="00AF34B2">
            <w:pPr>
              <w:jc w:val="center"/>
            </w:pPr>
            <w:r>
              <w:rPr>
                <w:b/>
                <w:bCs/>
                <w:sz w:val="20"/>
                <w:szCs w:val="20"/>
              </w:rPr>
              <w:t>GCA</w:t>
            </w:r>
          </w:p>
        </w:tc>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657F6003" w14:textId="77777777" w:rsidR="00491F9E" w:rsidRDefault="00D4055E" w:rsidP="00AF34B2">
            <w:pPr>
              <w:jc w:val="center"/>
            </w:pPr>
            <w:r>
              <w:rPr>
                <w:b/>
                <w:bCs/>
                <w:sz w:val="20"/>
                <w:szCs w:val="20"/>
              </w:rPr>
              <w:t>No GCA</w:t>
            </w:r>
          </w:p>
        </w:tc>
      </w:tr>
      <w:tr w:rsidR="00491F9E" w14:paraId="234ECFB3" w14:textId="77777777" w:rsidTr="00712537">
        <w:trPr>
          <w:jc w:val="center"/>
        </w:trPr>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44744985" w14:textId="77777777" w:rsidR="00491F9E" w:rsidRDefault="00D4055E">
            <w:r>
              <w:rPr>
                <w:b/>
                <w:bCs/>
                <w:sz w:val="20"/>
                <w:szCs w:val="20"/>
              </w:rPr>
              <w:t>PAAG</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354763" w14:textId="77777777" w:rsidR="00491F9E" w:rsidRDefault="00D4055E">
            <w:pPr>
              <w:jc w:val="center"/>
            </w:pPr>
            <w:r>
              <w:rPr>
                <w:sz w:val="20"/>
                <w:szCs w:val="20"/>
              </w:rPr>
              <w:t>7.3 (6)</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007329" w14:textId="77777777" w:rsidR="00491F9E" w:rsidRDefault="00D4055E">
            <w:pPr>
              <w:jc w:val="center"/>
            </w:pPr>
            <w:r>
              <w:rPr>
                <w:sz w:val="20"/>
                <w:szCs w:val="20"/>
              </w:rPr>
              <w:t>7.3 (7)</w:t>
            </w:r>
          </w:p>
        </w:tc>
      </w:tr>
      <w:tr w:rsidR="00491F9E" w14:paraId="4C424542" w14:textId="77777777" w:rsidTr="00712537">
        <w:trPr>
          <w:jc w:val="center"/>
        </w:trPr>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2182DDC5" w14:textId="77777777" w:rsidR="00491F9E" w:rsidRDefault="00D4055E">
            <w:r>
              <w:rPr>
                <w:b/>
                <w:bCs/>
                <w:sz w:val="20"/>
                <w:szCs w:val="20"/>
              </w:rPr>
              <w:t>No PAAG</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829CF1" w14:textId="77777777" w:rsidR="00491F9E" w:rsidRDefault="00D4055E">
            <w:pPr>
              <w:jc w:val="center"/>
            </w:pPr>
            <w:r>
              <w:rPr>
                <w:sz w:val="20"/>
                <w:szCs w:val="20"/>
              </w:rPr>
              <w:t>3.2 (4)</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CBA33E" w14:textId="77777777" w:rsidR="00491F9E" w:rsidRDefault="00D4055E">
            <w:pPr>
              <w:jc w:val="center"/>
            </w:pPr>
            <w:r>
              <w:rPr>
                <w:sz w:val="20"/>
                <w:szCs w:val="20"/>
              </w:rPr>
              <w:t>3.8 (8)</w:t>
            </w:r>
          </w:p>
        </w:tc>
      </w:tr>
    </w:tbl>
    <w:p w14:paraId="2567D69C" w14:textId="77777777" w:rsidR="00491F9E" w:rsidRDefault="00491F9E">
      <w:pPr>
        <w:spacing w:before="80"/>
      </w:pPr>
    </w:p>
    <w:p w14:paraId="1BA0EC26" w14:textId="77777777" w:rsidR="00491F9E" w:rsidRDefault="00D4055E" w:rsidP="00AF34B2">
      <w:pPr>
        <w:spacing w:after="200"/>
        <w:jc w:val="center"/>
      </w:pPr>
      <w:r>
        <w:rPr>
          <w:i/>
          <w:iCs/>
          <w:sz w:val="18"/>
          <w:szCs w:val="18"/>
        </w:rPr>
        <w:t>Average scores out of 11, with publisher count in brackets.</w:t>
      </w:r>
    </w:p>
    <w:p w14:paraId="0790409B" w14:textId="77777777" w:rsidR="00491F9E" w:rsidRDefault="00D4055E">
      <w:pPr>
        <w:spacing w:after="200"/>
      </w:pPr>
      <w:r>
        <w:t>PAAG membership appears to be a stronger predictor of communication quality than GCA certification. Publishers with PAAG membership average around 7/11 regardless of GCA status, while those without PAAG average around 3.5/11 — even when GCA-certified.</w:t>
      </w:r>
    </w:p>
    <w:p w14:paraId="440B22C5" w14:textId="77777777" w:rsidR="00491F9E" w:rsidRDefault="00D4055E">
      <w:pPr>
        <w:spacing w:before="240" w:after="160"/>
      </w:pPr>
      <w:r>
        <w:rPr>
          <w:b/>
          <w:bCs/>
          <w:sz w:val="24"/>
          <w:szCs w:val="24"/>
        </w:rPr>
        <w:t>4. Academic/STM publishers lead the way</w:t>
      </w:r>
    </w:p>
    <w:p w14:paraId="7A41BCB3" w14:textId="77777777" w:rsidR="00491F9E" w:rsidRDefault="00D4055E">
      <w:pPr>
        <w:spacing w:after="200"/>
      </w:pPr>
      <w:r>
        <w:t>Academic/STM/Professional publishers outperform the Trade sector: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1957"/>
        <w:gridCol w:w="1691"/>
        <w:gridCol w:w="1910"/>
      </w:tblGrid>
      <w:tr w:rsidR="00491F9E" w14:paraId="35391A93" w14:textId="77777777" w:rsidTr="00712537">
        <w:tc>
          <w:tcPr>
            <w:tcW w:w="3799"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46F116C3" w14:textId="77777777" w:rsidR="00491F9E" w:rsidRDefault="00D4055E">
            <w:r>
              <w:rPr>
                <w:b/>
                <w:bCs/>
                <w:sz w:val="20"/>
                <w:szCs w:val="20"/>
              </w:rPr>
              <w:t>Sector</w:t>
            </w:r>
          </w:p>
        </w:tc>
        <w:tc>
          <w:tcPr>
            <w:tcW w:w="1956"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2A031ADF" w14:textId="77777777" w:rsidR="00491F9E" w:rsidRDefault="00D4055E" w:rsidP="00E576F9">
            <w:pPr>
              <w:jc w:val="center"/>
            </w:pPr>
            <w:r>
              <w:rPr>
                <w:b/>
                <w:bCs/>
                <w:sz w:val="20"/>
                <w:szCs w:val="20"/>
              </w:rPr>
              <w:t>Average Score</w:t>
            </w:r>
          </w:p>
        </w:tc>
        <w:tc>
          <w:tcPr>
            <w:tcW w:w="169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542AA34B" w14:textId="77777777" w:rsidR="00491F9E" w:rsidRDefault="00D4055E" w:rsidP="00E576F9">
            <w:pPr>
              <w:jc w:val="center"/>
            </w:pPr>
            <w:r>
              <w:rPr>
                <w:b/>
                <w:bCs/>
                <w:sz w:val="20"/>
                <w:szCs w:val="20"/>
              </w:rPr>
              <w:t>Percentage</w:t>
            </w:r>
          </w:p>
        </w:tc>
        <w:tc>
          <w:tcPr>
            <w:tcW w:w="1909"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02C75CA0" w14:textId="77777777" w:rsidR="00491F9E" w:rsidRDefault="00D4055E" w:rsidP="00E576F9">
            <w:pPr>
              <w:jc w:val="center"/>
            </w:pPr>
            <w:r>
              <w:rPr>
                <w:b/>
                <w:bCs/>
                <w:sz w:val="20"/>
                <w:szCs w:val="20"/>
              </w:rPr>
              <w:t>Score Range</w:t>
            </w:r>
          </w:p>
        </w:tc>
      </w:tr>
      <w:tr w:rsidR="00491F9E" w14:paraId="346754AF" w14:textId="77777777">
        <w:tc>
          <w:tcPr>
            <w:tcW w:w="379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BD58F0" w14:textId="77777777" w:rsidR="00491F9E" w:rsidRDefault="00D4055E">
            <w:r>
              <w:rPr>
                <w:sz w:val="20"/>
                <w:szCs w:val="20"/>
              </w:rPr>
              <w:t>Academic/STM/Professional (17)</w:t>
            </w:r>
          </w:p>
        </w:tc>
        <w:tc>
          <w:tcPr>
            <w:tcW w:w="19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09D05E" w14:textId="77777777" w:rsidR="00491F9E" w:rsidRDefault="00D4055E" w:rsidP="00E576F9">
            <w:pPr>
              <w:jc w:val="center"/>
            </w:pPr>
            <w:r>
              <w:rPr>
                <w:sz w:val="20"/>
                <w:szCs w:val="20"/>
              </w:rPr>
              <w:t>6.3/11</w:t>
            </w:r>
          </w:p>
        </w:tc>
        <w:tc>
          <w:tcPr>
            <w:tcW w:w="16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8B968A" w14:textId="77777777" w:rsidR="00491F9E" w:rsidRDefault="00D4055E" w:rsidP="00E576F9">
            <w:pPr>
              <w:jc w:val="center"/>
            </w:pPr>
            <w:r>
              <w:rPr>
                <w:sz w:val="20"/>
                <w:szCs w:val="20"/>
              </w:rPr>
              <w:t>57%</w:t>
            </w:r>
          </w:p>
        </w:tc>
        <w:tc>
          <w:tcPr>
            <w:tcW w:w="19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1B17A8" w14:textId="77777777" w:rsidR="00491F9E" w:rsidRDefault="00D4055E" w:rsidP="00E576F9">
            <w:pPr>
              <w:jc w:val="center"/>
            </w:pPr>
            <w:r>
              <w:rPr>
                <w:sz w:val="20"/>
                <w:szCs w:val="20"/>
              </w:rPr>
              <w:t>0–11</w:t>
            </w:r>
          </w:p>
        </w:tc>
      </w:tr>
      <w:tr w:rsidR="00491F9E" w14:paraId="197BBED0" w14:textId="77777777">
        <w:tc>
          <w:tcPr>
            <w:tcW w:w="379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289071" w14:textId="77777777" w:rsidR="00491F9E" w:rsidRDefault="00D4055E">
            <w:r>
              <w:rPr>
                <w:sz w:val="20"/>
                <w:szCs w:val="20"/>
              </w:rPr>
              <w:t>Trade (8)</w:t>
            </w:r>
          </w:p>
        </w:tc>
        <w:tc>
          <w:tcPr>
            <w:tcW w:w="19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3A3B35" w14:textId="77777777" w:rsidR="00491F9E" w:rsidRDefault="00D4055E" w:rsidP="00E576F9">
            <w:pPr>
              <w:jc w:val="center"/>
            </w:pPr>
            <w:r>
              <w:rPr>
                <w:sz w:val="20"/>
                <w:szCs w:val="20"/>
              </w:rPr>
              <w:t>3.9/11</w:t>
            </w:r>
          </w:p>
        </w:tc>
        <w:tc>
          <w:tcPr>
            <w:tcW w:w="16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FE3957" w14:textId="77777777" w:rsidR="00491F9E" w:rsidRDefault="00D4055E" w:rsidP="00E576F9">
            <w:pPr>
              <w:jc w:val="center"/>
            </w:pPr>
            <w:r>
              <w:rPr>
                <w:sz w:val="20"/>
                <w:szCs w:val="20"/>
              </w:rPr>
              <w:t>35%</w:t>
            </w:r>
          </w:p>
        </w:tc>
        <w:tc>
          <w:tcPr>
            <w:tcW w:w="19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EABDB0" w14:textId="77777777" w:rsidR="00491F9E" w:rsidRDefault="00D4055E" w:rsidP="00E576F9">
            <w:pPr>
              <w:jc w:val="center"/>
            </w:pPr>
            <w:r>
              <w:rPr>
                <w:sz w:val="20"/>
                <w:szCs w:val="20"/>
              </w:rPr>
              <w:t>1–10</w:t>
            </w:r>
          </w:p>
        </w:tc>
      </w:tr>
      <w:tr w:rsidR="00491F9E" w14:paraId="5A1B9824" w14:textId="77777777">
        <w:tc>
          <w:tcPr>
            <w:tcW w:w="379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53FC0B" w14:textId="77777777" w:rsidR="00491F9E" w:rsidRDefault="00D4055E">
            <w:r>
              <w:rPr>
                <w:sz w:val="20"/>
                <w:szCs w:val="20"/>
              </w:rPr>
              <w:t>All publishers (25)</w:t>
            </w:r>
          </w:p>
        </w:tc>
        <w:tc>
          <w:tcPr>
            <w:tcW w:w="195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F8FA9B" w14:textId="77777777" w:rsidR="00491F9E" w:rsidRDefault="00D4055E" w:rsidP="00E576F9">
            <w:pPr>
              <w:jc w:val="center"/>
            </w:pPr>
            <w:r>
              <w:rPr>
                <w:sz w:val="20"/>
                <w:szCs w:val="20"/>
              </w:rPr>
              <w:t>5.5/11</w:t>
            </w:r>
          </w:p>
        </w:tc>
        <w:tc>
          <w:tcPr>
            <w:tcW w:w="169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B2C029" w14:textId="77777777" w:rsidR="00491F9E" w:rsidRDefault="00D4055E" w:rsidP="00E576F9">
            <w:pPr>
              <w:jc w:val="center"/>
            </w:pPr>
            <w:r>
              <w:rPr>
                <w:sz w:val="20"/>
                <w:szCs w:val="20"/>
              </w:rPr>
              <w:t>50%</w:t>
            </w:r>
          </w:p>
        </w:tc>
        <w:tc>
          <w:tcPr>
            <w:tcW w:w="19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82B30C" w14:textId="77777777" w:rsidR="00491F9E" w:rsidRDefault="00D4055E" w:rsidP="00E576F9">
            <w:pPr>
              <w:jc w:val="center"/>
            </w:pPr>
            <w:r>
              <w:rPr>
                <w:sz w:val="20"/>
                <w:szCs w:val="20"/>
              </w:rPr>
              <w:t>0–11</w:t>
            </w:r>
          </w:p>
        </w:tc>
      </w:tr>
    </w:tbl>
    <w:p w14:paraId="6FA8938A" w14:textId="77777777" w:rsidR="00491F9E" w:rsidRDefault="00491F9E">
      <w:pPr>
        <w:spacing w:before="200"/>
      </w:pPr>
    </w:p>
    <w:p w14:paraId="3130F5A4" w14:textId="77777777" w:rsidR="00491F9E" w:rsidRDefault="00D4055E">
      <w:pPr>
        <w:spacing w:after="200"/>
      </w:pPr>
      <w:r>
        <w:t>5 of the 6 top-scoring publishers are in the Academic/STM/Professional sector. This may reflect closer engagement with institutional accessibility requirements and research community needs.</w:t>
      </w:r>
    </w:p>
    <w:p w14:paraId="3E4C6C9F" w14:textId="77777777" w:rsidR="00491F9E" w:rsidRDefault="00D4055E">
      <w:pPr>
        <w:spacing w:before="240" w:after="160"/>
      </w:pPr>
      <w:r>
        <w:rPr>
          <w:b/>
          <w:bCs/>
          <w:sz w:val="24"/>
          <w:szCs w:val="24"/>
        </w:rPr>
        <w:t>5. Image descriptions: the hidden investment</w:t>
      </w:r>
    </w:p>
    <w:p w14:paraId="14EFD3A6" w14:textId="77777777" w:rsidR="00491F9E" w:rsidRDefault="00D4055E">
      <w:pPr>
        <w:spacing w:after="200"/>
      </w:pPr>
      <w:r>
        <w:t>56% of publishers don't mention image descriptions at all — and some of those that do provide only vague statements rather than specific commitments. This explains why publishers achieved only 32% of possible points on this indicator. Yet industry conversations suggest far more publishers have implemented alt text workflows, trained authors, or are actively remediating backlists.</w:t>
      </w:r>
    </w:p>
    <w:p w14:paraId="4F975082" w14:textId="77777777" w:rsidR="00491F9E" w:rsidRDefault="00D4055E">
      <w:pPr>
        <w:spacing w:after="200"/>
      </w:pPr>
      <w:r>
        <w:t>The sector divide is stark. Academic/STM/Professional publishers average 43% on image description communication, with 59% mentioning the topic. Trade publishers average just 8%, with only 1 in 8 mentioning image descriptions at all.</w:t>
      </w:r>
    </w:p>
    <w:p w14:paraId="5A9FA80A" w14:textId="77777777" w:rsidR="0099494F" w:rsidRDefault="0099494F">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9"/>
        <w:gridCol w:w="2339"/>
        <w:gridCol w:w="2340"/>
      </w:tblGrid>
      <w:tr w:rsidR="00491F9E" w14:paraId="72A89CDB" w14:textId="77777777" w:rsidTr="00712537">
        <w:tc>
          <w:tcPr>
            <w:tcW w:w="468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7AF876D2" w14:textId="77777777" w:rsidR="00491F9E" w:rsidRDefault="00D4055E">
            <w:r>
              <w:rPr>
                <w:b/>
                <w:bCs/>
                <w:sz w:val="20"/>
                <w:szCs w:val="20"/>
              </w:rPr>
              <w:lastRenderedPageBreak/>
              <w:t>Sector</w:t>
            </w:r>
          </w:p>
        </w:tc>
        <w:tc>
          <w:tcPr>
            <w:tcW w:w="234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28F35033" w14:textId="77777777" w:rsidR="00491F9E" w:rsidRDefault="00D4055E" w:rsidP="00E576F9">
            <w:pPr>
              <w:jc w:val="center"/>
            </w:pPr>
            <w:r>
              <w:rPr>
                <w:b/>
                <w:bCs/>
                <w:sz w:val="20"/>
                <w:szCs w:val="20"/>
              </w:rPr>
              <w:t>Average (of 3)</w:t>
            </w:r>
          </w:p>
        </w:tc>
        <w:tc>
          <w:tcPr>
            <w:tcW w:w="234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19587C63" w14:textId="77777777" w:rsidR="00491F9E" w:rsidRDefault="00D4055E" w:rsidP="00E576F9">
            <w:pPr>
              <w:jc w:val="center"/>
            </w:pPr>
            <w:r>
              <w:rPr>
                <w:b/>
                <w:bCs/>
                <w:sz w:val="20"/>
                <w:szCs w:val="20"/>
              </w:rPr>
              <w:t>% Mentioning</w:t>
            </w:r>
          </w:p>
        </w:tc>
      </w:tr>
      <w:tr w:rsidR="00491F9E" w14:paraId="0D307A60" w14:textId="77777777">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9674EB" w14:textId="77777777" w:rsidR="00491F9E" w:rsidRDefault="00D4055E">
            <w:r>
              <w:rPr>
                <w:sz w:val="20"/>
                <w:szCs w:val="20"/>
              </w:rPr>
              <w:t>Academic/STM/Professional (17)</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1042D9" w14:textId="77777777" w:rsidR="00491F9E" w:rsidRDefault="00D4055E">
            <w:pPr>
              <w:jc w:val="center"/>
            </w:pPr>
            <w:r>
              <w:rPr>
                <w:sz w:val="20"/>
                <w:szCs w:val="20"/>
              </w:rPr>
              <w:t>1.29 (43%)</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E152C1" w14:textId="77777777" w:rsidR="00491F9E" w:rsidRDefault="00D4055E">
            <w:pPr>
              <w:jc w:val="center"/>
            </w:pPr>
            <w:r>
              <w:rPr>
                <w:sz w:val="20"/>
                <w:szCs w:val="20"/>
              </w:rPr>
              <w:t>59%</w:t>
            </w:r>
          </w:p>
        </w:tc>
      </w:tr>
      <w:tr w:rsidR="00491F9E" w14:paraId="5272B6A1" w14:textId="77777777">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D37A90" w14:textId="77777777" w:rsidR="00491F9E" w:rsidRDefault="00D4055E">
            <w:r>
              <w:rPr>
                <w:sz w:val="20"/>
                <w:szCs w:val="20"/>
              </w:rPr>
              <w:t>Trade (8)</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1196F1" w14:textId="77777777" w:rsidR="00491F9E" w:rsidRDefault="00D4055E">
            <w:pPr>
              <w:jc w:val="center"/>
            </w:pPr>
            <w:r>
              <w:rPr>
                <w:sz w:val="20"/>
                <w:szCs w:val="20"/>
              </w:rPr>
              <w:t>0.25 (8%)</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D870F8" w14:textId="77777777" w:rsidR="00491F9E" w:rsidRDefault="00D4055E">
            <w:pPr>
              <w:jc w:val="center"/>
            </w:pPr>
            <w:r>
              <w:rPr>
                <w:sz w:val="20"/>
                <w:szCs w:val="20"/>
              </w:rPr>
              <w:t>12%</w:t>
            </w:r>
          </w:p>
        </w:tc>
      </w:tr>
    </w:tbl>
    <w:p w14:paraId="15D524D8" w14:textId="77777777" w:rsidR="00491F9E" w:rsidRDefault="00491F9E">
      <w:pPr>
        <w:spacing w:before="200"/>
      </w:pPr>
    </w:p>
    <w:p w14:paraId="2CF32A97" w14:textId="77777777" w:rsidR="00491F9E" w:rsidRDefault="00D4055E">
      <w:pPr>
        <w:spacing w:after="200"/>
      </w:pPr>
      <w:r>
        <w:t>Perhaps the most striking finding concerns GCA-certified publishers. Despite having certified born-accessible production workflows — which include image description requirements — 60% of GCA publishers don't mention image descriptions in their accessibility statements. GCA certification appears to have no positive correlation with communicating about image descriptions:</w:t>
      </w: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3"/>
        <w:gridCol w:w="1861"/>
        <w:gridCol w:w="1861"/>
      </w:tblGrid>
      <w:tr w:rsidR="00491F9E" w14:paraId="294ED026" w14:textId="77777777" w:rsidTr="00712537">
        <w:trPr>
          <w:jc w:val="center"/>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B5BE92" w14:textId="77777777" w:rsidR="00491F9E" w:rsidRDefault="00491F9E"/>
        </w:tc>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625CA71A" w14:textId="77777777" w:rsidR="00491F9E" w:rsidRDefault="00D4055E" w:rsidP="00712537">
            <w:pPr>
              <w:jc w:val="center"/>
            </w:pPr>
            <w:r>
              <w:rPr>
                <w:b/>
                <w:bCs/>
                <w:sz w:val="20"/>
                <w:szCs w:val="20"/>
              </w:rPr>
              <w:t>GCA</w:t>
            </w:r>
          </w:p>
        </w:tc>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178375E7" w14:textId="77777777" w:rsidR="00491F9E" w:rsidRDefault="00D4055E" w:rsidP="00712537">
            <w:pPr>
              <w:jc w:val="center"/>
            </w:pPr>
            <w:r>
              <w:rPr>
                <w:b/>
                <w:bCs/>
                <w:sz w:val="20"/>
                <w:szCs w:val="20"/>
              </w:rPr>
              <w:t>No GCA</w:t>
            </w:r>
          </w:p>
        </w:tc>
      </w:tr>
      <w:tr w:rsidR="00491F9E" w14:paraId="409B793C" w14:textId="77777777" w:rsidTr="00712537">
        <w:trPr>
          <w:jc w:val="center"/>
        </w:trPr>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4F94023E" w14:textId="77777777" w:rsidR="00491F9E" w:rsidRDefault="00D4055E">
            <w:r>
              <w:rPr>
                <w:b/>
                <w:bCs/>
                <w:sz w:val="20"/>
                <w:szCs w:val="20"/>
              </w:rPr>
              <w:t>PAAG</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26E674" w14:textId="77777777" w:rsidR="00491F9E" w:rsidRDefault="00D4055E">
            <w:pPr>
              <w:jc w:val="center"/>
            </w:pPr>
            <w:r>
              <w:rPr>
                <w:sz w:val="20"/>
                <w:szCs w:val="20"/>
              </w:rPr>
              <w:t>50%</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63D97D" w14:textId="77777777" w:rsidR="00491F9E" w:rsidRDefault="00D4055E">
            <w:pPr>
              <w:jc w:val="center"/>
            </w:pPr>
            <w:r>
              <w:rPr>
                <w:sz w:val="20"/>
                <w:szCs w:val="20"/>
              </w:rPr>
              <w:t>57%</w:t>
            </w:r>
          </w:p>
        </w:tc>
      </w:tr>
      <w:tr w:rsidR="00491F9E" w14:paraId="7FEA5F05" w14:textId="77777777" w:rsidTr="00712537">
        <w:trPr>
          <w:jc w:val="center"/>
        </w:trPr>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2786D122" w14:textId="77777777" w:rsidR="00491F9E" w:rsidRDefault="00D4055E">
            <w:r>
              <w:rPr>
                <w:b/>
                <w:bCs/>
                <w:sz w:val="20"/>
                <w:szCs w:val="20"/>
              </w:rPr>
              <w:t>No PAAG</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11D320" w14:textId="77777777" w:rsidR="00491F9E" w:rsidRDefault="00D4055E">
            <w:pPr>
              <w:jc w:val="center"/>
            </w:pPr>
            <w:r>
              <w:rPr>
                <w:sz w:val="20"/>
                <w:szCs w:val="20"/>
              </w:rPr>
              <w:t>25%</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DD614C" w14:textId="77777777" w:rsidR="00491F9E" w:rsidRDefault="00D4055E">
            <w:pPr>
              <w:jc w:val="center"/>
            </w:pPr>
            <w:r>
              <w:rPr>
                <w:sz w:val="20"/>
                <w:szCs w:val="20"/>
              </w:rPr>
              <w:t>38%</w:t>
            </w:r>
          </w:p>
        </w:tc>
      </w:tr>
    </w:tbl>
    <w:p w14:paraId="5D4C4EC8" w14:textId="77777777" w:rsidR="00491F9E" w:rsidRDefault="00491F9E">
      <w:pPr>
        <w:spacing w:before="80"/>
      </w:pPr>
    </w:p>
    <w:p w14:paraId="5377342F" w14:textId="77777777" w:rsidR="00491F9E" w:rsidRDefault="00D4055E" w:rsidP="00154886">
      <w:pPr>
        <w:spacing w:after="200"/>
        <w:jc w:val="center"/>
      </w:pPr>
      <w:r>
        <w:rPr>
          <w:i/>
          <w:iCs/>
          <w:sz w:val="18"/>
          <w:szCs w:val="18"/>
        </w:rPr>
        <w:t>Percentage of publishers mentioning image descriptions.</w:t>
      </w:r>
    </w:p>
    <w:p w14:paraId="1F19CDA3" w14:textId="77777777" w:rsidR="00491F9E" w:rsidRDefault="00D4055E">
      <w:pPr>
        <w:spacing w:after="200"/>
      </w:pPr>
      <w:r>
        <w:t>This is precisely the kind of information users need. A simple statement — "Our ebooks include alternative text for images" — would significantly improve many accessibility statements. For GCA-certified publishers already doing this work, the communication gap represents a significant missed opportunity.</w:t>
      </w:r>
    </w:p>
    <w:p w14:paraId="3BF2A288" w14:textId="77777777" w:rsidR="00491F9E" w:rsidRDefault="00D4055E">
      <w:pPr>
        <w:spacing w:before="240" w:after="160"/>
      </w:pPr>
      <w:r>
        <w:rPr>
          <w:b/>
          <w:bCs/>
          <w:sz w:val="24"/>
          <w:szCs w:val="24"/>
        </w:rPr>
        <w:t>6. Undated statements undermine trust</w:t>
      </w:r>
    </w:p>
    <w:p w14:paraId="66521DB6" w14:textId="741A594E" w:rsidR="00491F9E" w:rsidRDefault="00D4055E">
      <w:pPr>
        <w:spacing w:after="200"/>
      </w:pPr>
      <w:r>
        <w:t xml:space="preserve">68% of publishers don't date their accessibility statements. An undated statement leaves users wondering: is this current policy, or something from 2019? Dating a statement takes seconds and immediately signals </w:t>
      </w:r>
      <w:r w:rsidR="0016642D">
        <w:t xml:space="preserve">thoughtful </w:t>
      </w:r>
      <w:r>
        <w:t>engagement.</w:t>
      </w:r>
    </w:p>
    <w:p w14:paraId="774AB4F1" w14:textId="77777777" w:rsidR="00491F9E" w:rsidRDefault="00D4055E">
      <w:pPr>
        <w:spacing w:after="200"/>
      </w:pPr>
      <w:r>
        <w:t>Only 20% of publishers have a statement dated within the last 12 months. A further 12% have dates, but they're over a year old — suggesting statements that were created and then forgotten.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8"/>
        <w:gridCol w:w="1560"/>
        <w:gridCol w:w="1560"/>
        <w:gridCol w:w="1560"/>
      </w:tblGrid>
      <w:tr w:rsidR="00491F9E" w14:paraId="7396BD41" w14:textId="77777777" w:rsidTr="00712537">
        <w:tc>
          <w:tcPr>
            <w:tcW w:w="468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080C7BFD" w14:textId="77777777" w:rsidR="00491F9E" w:rsidRDefault="00D4055E">
            <w:r>
              <w:rPr>
                <w:b/>
                <w:bCs/>
                <w:sz w:val="20"/>
                <w:szCs w:val="20"/>
              </w:rPr>
              <w:t>Sector</w:t>
            </w:r>
          </w:p>
        </w:tc>
        <w:tc>
          <w:tcPr>
            <w:tcW w:w="156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61FD44E4" w14:textId="77777777" w:rsidR="00491F9E" w:rsidRDefault="00D4055E" w:rsidP="00712537">
            <w:pPr>
              <w:jc w:val="center"/>
            </w:pPr>
            <w:r>
              <w:rPr>
                <w:b/>
                <w:bCs/>
                <w:sz w:val="20"/>
                <w:szCs w:val="20"/>
              </w:rPr>
              <w:t>Recent</w:t>
            </w:r>
          </w:p>
        </w:tc>
        <w:tc>
          <w:tcPr>
            <w:tcW w:w="156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4C48D092" w14:textId="77777777" w:rsidR="00491F9E" w:rsidRDefault="00D4055E" w:rsidP="00712537">
            <w:pPr>
              <w:jc w:val="center"/>
            </w:pPr>
            <w:r>
              <w:rPr>
                <w:b/>
                <w:bCs/>
                <w:sz w:val="20"/>
                <w:szCs w:val="20"/>
              </w:rPr>
              <w:t>Old</w:t>
            </w:r>
          </w:p>
        </w:tc>
        <w:tc>
          <w:tcPr>
            <w:tcW w:w="156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2076408A" w14:textId="77777777" w:rsidR="00491F9E" w:rsidRDefault="00D4055E" w:rsidP="00712537">
            <w:pPr>
              <w:jc w:val="center"/>
            </w:pPr>
            <w:r>
              <w:rPr>
                <w:b/>
                <w:bCs/>
                <w:sz w:val="20"/>
                <w:szCs w:val="20"/>
              </w:rPr>
              <w:t>Undated</w:t>
            </w:r>
          </w:p>
        </w:tc>
      </w:tr>
      <w:tr w:rsidR="00491F9E" w14:paraId="3F7F4CFF" w14:textId="77777777">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E75F9F" w14:textId="77777777" w:rsidR="00491F9E" w:rsidRDefault="00D4055E">
            <w:r>
              <w:rPr>
                <w:sz w:val="20"/>
                <w:szCs w:val="20"/>
              </w:rPr>
              <w:t>Academic/STM/Professional (17)</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4C3E16" w14:textId="77777777" w:rsidR="00491F9E" w:rsidRDefault="00D4055E">
            <w:pPr>
              <w:jc w:val="center"/>
            </w:pPr>
            <w:r>
              <w:rPr>
                <w:sz w:val="20"/>
                <w:szCs w:val="20"/>
              </w:rPr>
              <w:t>24%</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F6BE6B" w14:textId="77777777" w:rsidR="00491F9E" w:rsidRDefault="00D4055E">
            <w:pPr>
              <w:jc w:val="center"/>
            </w:pPr>
            <w:r>
              <w:rPr>
                <w:sz w:val="20"/>
                <w:szCs w:val="20"/>
              </w:rPr>
              <w:t>12%</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F3BBFB" w14:textId="77777777" w:rsidR="00491F9E" w:rsidRDefault="00D4055E">
            <w:pPr>
              <w:jc w:val="center"/>
            </w:pPr>
            <w:r>
              <w:rPr>
                <w:sz w:val="20"/>
                <w:szCs w:val="20"/>
              </w:rPr>
              <w:t>65%</w:t>
            </w:r>
          </w:p>
        </w:tc>
      </w:tr>
      <w:tr w:rsidR="00491F9E" w14:paraId="1DE285CF" w14:textId="77777777">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B9B10D" w14:textId="77777777" w:rsidR="00491F9E" w:rsidRDefault="00D4055E">
            <w:r>
              <w:rPr>
                <w:sz w:val="20"/>
                <w:szCs w:val="20"/>
              </w:rPr>
              <w:t>Trade (8)</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C9EE1B" w14:textId="77777777" w:rsidR="00491F9E" w:rsidRDefault="00D4055E">
            <w:pPr>
              <w:jc w:val="center"/>
            </w:pPr>
            <w:r>
              <w:rPr>
                <w:sz w:val="20"/>
                <w:szCs w:val="20"/>
              </w:rPr>
              <w:t>12%</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C045FF" w14:textId="77777777" w:rsidR="00491F9E" w:rsidRDefault="00D4055E">
            <w:pPr>
              <w:jc w:val="center"/>
            </w:pPr>
            <w:r>
              <w:rPr>
                <w:sz w:val="20"/>
                <w:szCs w:val="20"/>
              </w:rPr>
              <w:t>12%</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4A065A" w14:textId="77777777" w:rsidR="00491F9E" w:rsidRDefault="00D4055E">
            <w:pPr>
              <w:jc w:val="center"/>
            </w:pPr>
            <w:r>
              <w:rPr>
                <w:sz w:val="20"/>
                <w:szCs w:val="20"/>
              </w:rPr>
              <w:t>75%</w:t>
            </w:r>
          </w:p>
        </w:tc>
      </w:tr>
    </w:tbl>
    <w:p w14:paraId="16342B3F" w14:textId="77777777" w:rsidR="00491F9E" w:rsidRDefault="00491F9E">
      <w:pPr>
        <w:spacing w:before="80"/>
      </w:pPr>
    </w:p>
    <w:p w14:paraId="6A6BC994" w14:textId="77777777" w:rsidR="00491F9E" w:rsidRDefault="00D4055E" w:rsidP="00712537">
      <w:pPr>
        <w:spacing w:after="200"/>
        <w:jc w:val="center"/>
      </w:pPr>
      <w:r>
        <w:rPr>
          <w:i/>
          <w:iCs/>
          <w:sz w:val="18"/>
          <w:szCs w:val="18"/>
        </w:rPr>
        <w:t>Recent = dated within 12 months. Old = dated but over 12 months ago.</w:t>
      </w:r>
    </w:p>
    <w:p w14:paraId="44212DB9" w14:textId="1FA88056" w:rsidR="00AA6CEA" w:rsidRDefault="00D4055E">
      <w:pPr>
        <w:spacing w:after="200"/>
      </w:pPr>
      <w:r>
        <w:t>The correlation with PAAG membership is striking. Every single publisher with a recently dated statement is a PAAG signatory. Among non-PAAG publishers, not one has a current date on their accessibility statement:</w:t>
      </w:r>
    </w:p>
    <w:p w14:paraId="1E501C91" w14:textId="77777777" w:rsidR="00AA6CEA" w:rsidRDefault="00AA6CEA">
      <w:r>
        <w:br w:type="page"/>
      </w:r>
    </w:p>
    <w:p w14:paraId="26121B27" w14:textId="77777777" w:rsidR="00491F9E" w:rsidRDefault="00491F9E">
      <w:pPr>
        <w:spacing w:after="200"/>
      </w:pP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3"/>
        <w:gridCol w:w="1861"/>
        <w:gridCol w:w="1861"/>
      </w:tblGrid>
      <w:tr w:rsidR="00491F9E" w14:paraId="65F5CF56" w14:textId="77777777" w:rsidTr="00712537">
        <w:trPr>
          <w:jc w:val="center"/>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E3EED1" w14:textId="77777777" w:rsidR="00491F9E" w:rsidRDefault="00491F9E"/>
        </w:tc>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0E4DB540" w14:textId="77777777" w:rsidR="00491F9E" w:rsidRDefault="00D4055E" w:rsidP="00712537">
            <w:pPr>
              <w:jc w:val="center"/>
            </w:pPr>
            <w:r>
              <w:rPr>
                <w:b/>
                <w:bCs/>
                <w:sz w:val="20"/>
                <w:szCs w:val="20"/>
              </w:rPr>
              <w:t>GCA</w:t>
            </w:r>
          </w:p>
        </w:tc>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562F0C40" w14:textId="77777777" w:rsidR="00491F9E" w:rsidRDefault="00D4055E" w:rsidP="00712537">
            <w:pPr>
              <w:jc w:val="center"/>
            </w:pPr>
            <w:r>
              <w:rPr>
                <w:b/>
                <w:bCs/>
                <w:sz w:val="20"/>
                <w:szCs w:val="20"/>
              </w:rPr>
              <w:t>No GCA</w:t>
            </w:r>
          </w:p>
        </w:tc>
      </w:tr>
      <w:tr w:rsidR="00491F9E" w14:paraId="60BE3C8B" w14:textId="77777777" w:rsidTr="00712537">
        <w:trPr>
          <w:jc w:val="center"/>
        </w:trPr>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221FF926" w14:textId="77777777" w:rsidR="00491F9E" w:rsidRDefault="00D4055E">
            <w:r>
              <w:rPr>
                <w:b/>
                <w:bCs/>
                <w:sz w:val="20"/>
                <w:szCs w:val="20"/>
              </w:rPr>
              <w:t>PAAG</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A5F7A7" w14:textId="77777777" w:rsidR="00491F9E" w:rsidRDefault="00D4055E">
            <w:pPr>
              <w:jc w:val="center"/>
            </w:pPr>
            <w:r>
              <w:rPr>
                <w:sz w:val="20"/>
                <w:szCs w:val="20"/>
              </w:rPr>
              <w:t>50%</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1A9B22" w14:textId="77777777" w:rsidR="00491F9E" w:rsidRDefault="00D4055E">
            <w:pPr>
              <w:jc w:val="center"/>
            </w:pPr>
            <w:r>
              <w:rPr>
                <w:sz w:val="20"/>
                <w:szCs w:val="20"/>
              </w:rPr>
              <w:t>29%</w:t>
            </w:r>
          </w:p>
        </w:tc>
      </w:tr>
      <w:tr w:rsidR="00491F9E" w14:paraId="6390F5B1" w14:textId="77777777" w:rsidTr="00712537">
        <w:trPr>
          <w:jc w:val="center"/>
        </w:trPr>
        <w:tc>
          <w:tcPr>
            <w:tcW w:w="24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7D258E7D" w14:textId="77777777" w:rsidR="00491F9E" w:rsidRDefault="00D4055E">
            <w:r>
              <w:rPr>
                <w:b/>
                <w:bCs/>
                <w:sz w:val="20"/>
                <w:szCs w:val="20"/>
              </w:rPr>
              <w:t>No PAAG</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D84421" w14:textId="77777777" w:rsidR="00491F9E" w:rsidRDefault="00D4055E">
            <w:pPr>
              <w:jc w:val="center"/>
            </w:pPr>
            <w:r>
              <w:rPr>
                <w:sz w:val="20"/>
                <w:szCs w:val="20"/>
              </w:rPr>
              <w:t>0%</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BA5D10" w14:textId="77777777" w:rsidR="00491F9E" w:rsidRDefault="00D4055E">
            <w:pPr>
              <w:jc w:val="center"/>
            </w:pPr>
            <w:r>
              <w:rPr>
                <w:sz w:val="20"/>
                <w:szCs w:val="20"/>
              </w:rPr>
              <w:t>0%</w:t>
            </w:r>
          </w:p>
        </w:tc>
      </w:tr>
    </w:tbl>
    <w:p w14:paraId="4B2E810F" w14:textId="77777777" w:rsidR="00491F9E" w:rsidRDefault="00491F9E">
      <w:pPr>
        <w:spacing w:before="80"/>
      </w:pPr>
    </w:p>
    <w:p w14:paraId="5219FCA8" w14:textId="77777777" w:rsidR="00491F9E" w:rsidRDefault="00D4055E" w:rsidP="00712537">
      <w:pPr>
        <w:spacing w:after="200"/>
        <w:jc w:val="center"/>
      </w:pPr>
      <w:r>
        <w:rPr>
          <w:i/>
          <w:iCs/>
          <w:sz w:val="18"/>
          <w:szCs w:val="18"/>
        </w:rPr>
        <w:t>Percentage of publishers with statements dated within 12 months.</w:t>
      </w:r>
    </w:p>
    <w:p w14:paraId="49FE9B90" w14:textId="77777777" w:rsidR="00491F9E" w:rsidRDefault="00D4055E">
      <w:pPr>
        <w:spacing w:after="200"/>
      </w:pPr>
      <w:r>
        <w:t>GCA-only publishers — those with certification but without PAAG membership — have a 100% undated rate. This reinforces the broader pattern: GCA certification, while valuable for production quality, does not appear to influence communication practices. PAAG membership is the differentiating factor.</w:t>
      </w:r>
    </w:p>
    <w:p w14:paraId="47A2B7AE" w14:textId="77777777" w:rsidR="00181D58" w:rsidRDefault="00D4055E">
      <w:pPr>
        <w:pStyle w:val="Heading3"/>
      </w:pPr>
      <w:r>
        <w:rPr>
          <w:b/>
        </w:rPr>
        <w:t>Understanding the landscape</w:t>
      </w:r>
    </w:p>
    <w:p w14:paraId="486D7C48" w14:textId="77777777" w:rsidR="00181D58" w:rsidRDefault="00D4055E">
      <w:r>
        <w:t>GCA certification demonstrates commitment to producing accessible content — the technical foundation that makes accessibility possible. PAAG membership signals commitment to embedding accessibility principles across the publishing ecosystem. ASPIRE review helps publishers communicate that work effectively to users.</w:t>
      </w:r>
    </w:p>
    <w:p w14:paraId="253D438F" w14:textId="77777777" w:rsidR="00F9281F" w:rsidRDefault="00F9281F"/>
    <w:p w14:paraId="2B45A97A" w14:textId="77777777" w:rsidR="00181D58" w:rsidRDefault="00D4055E">
      <w:r>
        <w:t>Each serves a different purpose. None is a substitute for the others. And none of them is the end goal.</w:t>
      </w:r>
    </w:p>
    <w:p w14:paraId="7CBD3679" w14:textId="77777777" w:rsidR="00F9281F" w:rsidRDefault="00F9281F"/>
    <w:p w14:paraId="2A838690" w14:textId="77777777" w:rsidR="00181D58" w:rsidRDefault="00D4055E">
      <w:r>
        <w:t>The end goal is the reader: someone who can discover what's available, understand what to expect, and access the content they need. Certifications and memberships are means to that end — valuable signals of commitment, but only valuable if they translate into a better reader experience.</w:t>
      </w:r>
    </w:p>
    <w:p w14:paraId="7E0A0B97" w14:textId="77777777" w:rsidR="00F9281F" w:rsidRDefault="00F9281F"/>
    <w:p w14:paraId="12CE029B" w14:textId="77777777" w:rsidR="00181D58" w:rsidRDefault="00D4055E">
      <w:r>
        <w:t>The best accessibility statements we reviewed understand this. They don't just list credentials — they speak directly to users about what they'll find and how to get help. That's the untold story this report is asking publishers to tell.</w:t>
      </w:r>
    </w:p>
    <w:p w14:paraId="0446A1F2" w14:textId="77777777" w:rsidR="00491F9E" w:rsidRDefault="00491F9E"/>
    <w:p w14:paraId="24BF65C8" w14:textId="77777777" w:rsidR="00712537" w:rsidRDefault="00712537"/>
    <w:p w14:paraId="469C6BFD" w14:textId="77777777" w:rsidR="00F9281F" w:rsidRDefault="00F9281F" w:rsidP="00F9281F">
      <w:pPr>
        <w:pStyle w:val="Heading3"/>
        <w:rPr>
          <w:b/>
          <w:bCs/>
        </w:rPr>
      </w:pPr>
      <w:r w:rsidRPr="00F9281F">
        <w:rPr>
          <w:b/>
        </w:rPr>
        <w:t>The flow from certification to communication</w:t>
      </w:r>
    </w:p>
    <w:p w14:paraId="79E7960C" w14:textId="77777777" w:rsidR="00F9281F" w:rsidRDefault="00F9281F" w:rsidP="00F9281F">
      <w:r w:rsidRPr="00F9281F">
        <w:t>The diagram below shows how publishers with different certifications and memberships performed in our survey. Each flow represents publishers moving from their starting point (left) to their communication score band (right).</w:t>
      </w:r>
    </w:p>
    <w:p w14:paraId="19B3259B" w14:textId="77777777" w:rsidR="00F9281F" w:rsidRDefault="00F9281F" w:rsidP="00F9281F">
      <w:pPr>
        <w:spacing w:after="160"/>
      </w:pPr>
    </w:p>
    <w:p w14:paraId="5792D45D" w14:textId="11553DA3" w:rsidR="00F9281F" w:rsidRDefault="00F9281F" w:rsidP="00F9281F">
      <w:pPr>
        <w:spacing w:after="160"/>
        <w:jc w:val="center"/>
      </w:pPr>
      <w:r w:rsidRPr="00F9281F">
        <w:rPr>
          <w:noProof/>
        </w:rPr>
        <w:lastRenderedPageBreak/>
        <w:drawing>
          <wp:inline distT="0" distB="0" distL="0" distR="0" wp14:anchorId="0E2A505D" wp14:editId="4F84E7D1">
            <wp:extent cx="5075434" cy="3764280"/>
            <wp:effectExtent l="0" t="0" r="0" b="7620"/>
            <wp:docPr id="295827516" name="Picture 1" descr="A full image description of this Sankey diagram is provided in the description annex at the end of thi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27516" name="Picture 1" descr="A full image description of this Sankey diagram is provided in the description annex at the end of this report."/>
                    <pic:cNvPicPr/>
                  </pic:nvPicPr>
                  <pic:blipFill>
                    <a:blip r:embed="rId7"/>
                    <a:stretch>
                      <a:fillRect/>
                    </a:stretch>
                  </pic:blipFill>
                  <pic:spPr>
                    <a:xfrm>
                      <a:off x="0" y="0"/>
                      <a:ext cx="5095241" cy="3778970"/>
                    </a:xfrm>
                    <a:prstGeom prst="rect">
                      <a:avLst/>
                    </a:prstGeom>
                  </pic:spPr>
                </pic:pic>
              </a:graphicData>
            </a:graphic>
          </wp:inline>
        </w:drawing>
      </w:r>
    </w:p>
    <w:p w14:paraId="397A895F" w14:textId="2A49B470" w:rsidR="00F9281F" w:rsidRPr="00F9281F" w:rsidRDefault="00F9281F" w:rsidP="00F9281F">
      <w:pPr>
        <w:spacing w:after="160"/>
      </w:pPr>
      <w:r w:rsidRPr="00F9281F">
        <w:t>The patterns are striking:</w:t>
      </w:r>
    </w:p>
    <w:p w14:paraId="2CF4D9C7" w14:textId="77777777" w:rsidR="00F9281F" w:rsidRPr="00F9281F" w:rsidRDefault="00F9281F" w:rsidP="00154886">
      <w:pPr>
        <w:numPr>
          <w:ilvl w:val="0"/>
          <w:numId w:val="10"/>
        </w:numPr>
        <w:spacing w:after="80"/>
        <w:ind w:left="714" w:hanging="357"/>
      </w:pPr>
      <w:r w:rsidRPr="00F9281F">
        <w:rPr>
          <w:b/>
          <w:bCs/>
        </w:rPr>
        <w:t>ASPIRE Gold</w:t>
      </w:r>
      <w:r w:rsidRPr="00F9281F">
        <w:t xml:space="preserve"> publishers flow exclusively to Excellent and Good — none fall below.</w:t>
      </w:r>
    </w:p>
    <w:p w14:paraId="48538015" w14:textId="77777777" w:rsidR="00F9281F" w:rsidRPr="00F9281F" w:rsidRDefault="00F9281F" w:rsidP="00154886">
      <w:pPr>
        <w:numPr>
          <w:ilvl w:val="0"/>
          <w:numId w:val="10"/>
        </w:numPr>
        <w:spacing w:after="80"/>
        <w:ind w:left="714" w:hanging="357"/>
      </w:pPr>
      <w:r w:rsidRPr="00F9281F">
        <w:rPr>
          <w:b/>
          <w:bCs/>
        </w:rPr>
        <w:t>PAAG members</w:t>
      </w:r>
      <w:r w:rsidRPr="00F9281F">
        <w:t xml:space="preserve"> (with or without GCA) reach Excellent, but some fall to Limited — membership helps, but doesn't guarantee strong communication.</w:t>
      </w:r>
    </w:p>
    <w:p w14:paraId="466588D5" w14:textId="77777777" w:rsidR="00F9281F" w:rsidRPr="00F9281F" w:rsidRDefault="00F9281F" w:rsidP="00154886">
      <w:pPr>
        <w:numPr>
          <w:ilvl w:val="0"/>
          <w:numId w:val="10"/>
        </w:numPr>
        <w:spacing w:after="80"/>
        <w:ind w:left="714" w:hanging="357"/>
      </w:pPr>
      <w:r w:rsidRPr="00F9281F">
        <w:rPr>
          <w:b/>
          <w:bCs/>
        </w:rPr>
        <w:t>GCA-only</w:t>
      </w:r>
      <w:r w:rsidRPr="00F9281F">
        <w:t xml:space="preserve"> publishers never reach Excellent or Good — certified production capability alone doesn't translate to communication quality.</w:t>
      </w:r>
    </w:p>
    <w:p w14:paraId="403F401A" w14:textId="77777777" w:rsidR="00F9281F" w:rsidRPr="00F9281F" w:rsidRDefault="00F9281F" w:rsidP="00F9281F">
      <w:pPr>
        <w:numPr>
          <w:ilvl w:val="0"/>
          <w:numId w:val="10"/>
        </w:numPr>
        <w:spacing w:after="160"/>
        <w:ind w:left="714" w:hanging="357"/>
      </w:pPr>
      <w:r w:rsidRPr="00F9281F">
        <w:rPr>
          <w:b/>
          <w:bCs/>
        </w:rPr>
        <w:t>Publishers with neither</w:t>
      </w:r>
      <w:r w:rsidRPr="00F9281F">
        <w:t xml:space="preserve"> cluster at Moderate and Poor.</w:t>
      </w:r>
    </w:p>
    <w:p w14:paraId="558AEE6D" w14:textId="77777777" w:rsidR="00F9281F" w:rsidRPr="00F9281F" w:rsidRDefault="00F9281F" w:rsidP="00F9281F">
      <w:r w:rsidRPr="00F9281F">
        <w:t>The visual reinforces what the data shows: production certification (GCA) and communication quality are independent variables. PAAG membership correlates with better outcomes. ASPIRE review delivers consistent results.</w:t>
      </w:r>
    </w:p>
    <w:p w14:paraId="35D62FAB" w14:textId="77777777" w:rsidR="00F9281F" w:rsidRDefault="00F9281F"/>
    <w:p w14:paraId="26417C8E" w14:textId="77777777" w:rsidR="00F9281F" w:rsidRDefault="00F9281F"/>
    <w:p w14:paraId="6D2602DB" w14:textId="77777777" w:rsidR="00F9281F" w:rsidRDefault="00F9281F"/>
    <w:p w14:paraId="0FCB6E6A" w14:textId="77777777" w:rsidR="00196174" w:rsidRDefault="00196174">
      <w:pPr>
        <w:rPr>
          <w:b/>
          <w:bCs/>
          <w:color w:val="0F614F"/>
          <w:sz w:val="28"/>
          <w:szCs w:val="28"/>
        </w:rPr>
      </w:pPr>
      <w:r>
        <w:rPr>
          <w:b/>
          <w:bCs/>
          <w:sz w:val="28"/>
          <w:szCs w:val="28"/>
        </w:rPr>
        <w:br w:type="page"/>
      </w:r>
    </w:p>
    <w:p w14:paraId="5DB06B38" w14:textId="752E6451" w:rsidR="00491F9E" w:rsidRDefault="00D4055E">
      <w:pPr>
        <w:pStyle w:val="Heading3"/>
      </w:pPr>
      <w:r>
        <w:rPr>
          <w:b/>
          <w:bCs/>
          <w:sz w:val="28"/>
          <w:szCs w:val="28"/>
        </w:rPr>
        <w:lastRenderedPageBreak/>
        <w:t>8 Elements your accessibility statement should include</w:t>
      </w:r>
    </w:p>
    <w:p w14:paraId="540E1AB6" w14:textId="77777777" w:rsidR="00491F9E" w:rsidRDefault="00D4055E">
      <w:pPr>
        <w:spacing w:after="200"/>
      </w:pPr>
      <w:r>
        <w:t>Based on EAA requirements, ASPIRE criteria, and best practice observed in our survey:</w:t>
      </w:r>
    </w:p>
    <w:p w14:paraId="3C238A04" w14:textId="77777777" w:rsidR="00491F9E" w:rsidRDefault="00D4055E">
      <w:pPr>
        <w:pStyle w:val="ListParagraph"/>
        <w:numPr>
          <w:ilvl w:val="0"/>
          <w:numId w:val="2"/>
        </w:numPr>
        <w:spacing w:after="80"/>
      </w:pPr>
      <w:r>
        <w:rPr>
          <w:b/>
          <w:bCs/>
        </w:rPr>
        <w:t xml:space="preserve">Content accessibility information. </w:t>
      </w:r>
      <w:r>
        <w:t>Not just platform or website accessibility. Tell users about the actual books, journals, and learning materials.</w:t>
      </w:r>
    </w:p>
    <w:p w14:paraId="3A728363" w14:textId="77777777" w:rsidR="00491F9E" w:rsidRDefault="00D4055E">
      <w:pPr>
        <w:pStyle w:val="ListParagraph"/>
        <w:numPr>
          <w:ilvl w:val="0"/>
          <w:numId w:val="2"/>
        </w:numPr>
        <w:spacing w:after="80"/>
      </w:pPr>
      <w:r>
        <w:rPr>
          <w:b/>
          <w:bCs/>
        </w:rPr>
        <w:t xml:space="preserve">Image description policy. </w:t>
      </w:r>
      <w:r>
        <w:t>Do your ebooks include alt text? Since when? For what proportion of titles? Be specific.</w:t>
      </w:r>
    </w:p>
    <w:p w14:paraId="56272ED3" w14:textId="77777777" w:rsidR="00491F9E" w:rsidRDefault="00D4055E">
      <w:pPr>
        <w:pStyle w:val="ListParagraph"/>
        <w:numPr>
          <w:ilvl w:val="0"/>
          <w:numId w:val="2"/>
        </w:numPr>
        <w:spacing w:after="80"/>
      </w:pPr>
      <w:r>
        <w:rPr>
          <w:b/>
          <w:bCs/>
        </w:rPr>
        <w:t xml:space="preserve">Available formats. </w:t>
      </w:r>
      <w:r>
        <w:t>EPUB3, PDF, audio, braille partnerships? What can users request? How long does it take?</w:t>
      </w:r>
    </w:p>
    <w:p w14:paraId="383C47E5" w14:textId="77777777" w:rsidR="00491F9E" w:rsidRDefault="00D4055E">
      <w:pPr>
        <w:pStyle w:val="ListParagraph"/>
        <w:numPr>
          <w:ilvl w:val="0"/>
          <w:numId w:val="2"/>
        </w:numPr>
        <w:spacing w:after="80"/>
      </w:pPr>
      <w:r>
        <w:rPr>
          <w:b/>
          <w:bCs/>
        </w:rPr>
        <w:t xml:space="preserve">A date. </w:t>
      </w:r>
      <w:r>
        <w:t>When was this statement last updated? Currency builds trust.</w:t>
      </w:r>
    </w:p>
    <w:p w14:paraId="7B9EDD9A" w14:textId="77777777" w:rsidR="00491F9E" w:rsidRDefault="00D4055E">
      <w:pPr>
        <w:pStyle w:val="ListParagraph"/>
        <w:numPr>
          <w:ilvl w:val="0"/>
          <w:numId w:val="2"/>
        </w:numPr>
        <w:spacing w:after="80"/>
      </w:pPr>
      <w:r>
        <w:rPr>
          <w:b/>
          <w:bCs/>
        </w:rPr>
        <w:t xml:space="preserve">A dedicated contact. </w:t>
      </w:r>
      <w:r>
        <w:t>An accessibility-specific email or named person, not just a generic contact form.</w:t>
      </w:r>
    </w:p>
    <w:p w14:paraId="18A84CBE" w14:textId="499F29AA" w:rsidR="00491F9E" w:rsidRDefault="00D4055E">
      <w:pPr>
        <w:pStyle w:val="ListParagraph"/>
        <w:numPr>
          <w:ilvl w:val="0"/>
          <w:numId w:val="2"/>
        </w:numPr>
        <w:spacing w:after="80"/>
      </w:pPr>
      <w:r>
        <w:rPr>
          <w:b/>
          <w:bCs/>
        </w:rPr>
        <w:t xml:space="preserve">Standards and certifications. </w:t>
      </w:r>
      <w:r>
        <w:t>WCAG conformance, EPUB Accessibility Specifications, Benetech GCA — if you've earned it, display it.</w:t>
      </w:r>
    </w:p>
    <w:p w14:paraId="0B94C8CD" w14:textId="77777777" w:rsidR="00491F9E" w:rsidRDefault="00D4055E">
      <w:pPr>
        <w:pStyle w:val="ListParagraph"/>
        <w:numPr>
          <w:ilvl w:val="0"/>
          <w:numId w:val="2"/>
        </w:numPr>
        <w:spacing w:after="80"/>
      </w:pPr>
      <w:r>
        <w:rPr>
          <w:b/>
          <w:bCs/>
        </w:rPr>
        <w:t xml:space="preserve">Memberships and commitments. </w:t>
      </w:r>
      <w:r>
        <w:t>PAAG Charter, ABC Charter, DAISY partnership. These signal commitment to users and the industry.</w:t>
      </w:r>
    </w:p>
    <w:p w14:paraId="65E827A7" w14:textId="77777777" w:rsidR="00491F9E" w:rsidRDefault="00D4055E">
      <w:pPr>
        <w:pStyle w:val="ListParagraph"/>
        <w:numPr>
          <w:ilvl w:val="0"/>
          <w:numId w:val="2"/>
        </w:numPr>
        <w:spacing w:after="80"/>
      </w:pPr>
      <w:r>
        <w:rPr>
          <w:b/>
          <w:bCs/>
        </w:rPr>
        <w:t xml:space="preserve">Honest limitations and a roadmap. </w:t>
      </w:r>
      <w:r>
        <w:t>What are you still working on? What's coming next? Transparency builds trust more than claims of perfection.</w:t>
      </w:r>
    </w:p>
    <w:p w14:paraId="164620F0" w14:textId="77777777" w:rsidR="00491F9E" w:rsidRDefault="00D4055E">
      <w:r>
        <w:br w:type="page"/>
      </w:r>
    </w:p>
    <w:p w14:paraId="1B6A66EA" w14:textId="77777777" w:rsidR="00491F9E" w:rsidRDefault="00D4055E">
      <w:pPr>
        <w:pStyle w:val="Heading3"/>
      </w:pPr>
      <w:r>
        <w:rPr>
          <w:b/>
          <w:bCs/>
          <w:sz w:val="28"/>
          <w:szCs w:val="28"/>
        </w:rPr>
        <w:lastRenderedPageBreak/>
        <w:t>The ASPIRE Philosophy</w:t>
      </w:r>
    </w:p>
    <w:p w14:paraId="5BFADCAC" w14:textId="77777777" w:rsidR="00491F9E" w:rsidRDefault="00D4055E">
      <w:pPr>
        <w:spacing w:after="200"/>
      </w:pPr>
      <w:r>
        <w:t>ASPIRE measures communication, not capability. We've always believed that telling users what to expect is itself an accessibility feature.</w:t>
      </w:r>
    </w:p>
    <w:p w14:paraId="41F09F21" w14:textId="77777777" w:rsidR="00491F9E" w:rsidRDefault="00D4055E">
      <w:pPr>
        <w:spacing w:after="200"/>
      </w:pPr>
      <w:r>
        <w:t>An accessibility statement is an ongoing dialogue with your readers and users. It offers you the opportunity to say, "We're doing X because of Y." It's a transparent, honest, practical, user-friendly document that reaches your whole audience.</w:t>
      </w:r>
    </w:p>
    <w:p w14:paraId="47159D5D" w14:textId="77777777" w:rsidR="00491F9E" w:rsidRDefault="00D4055E">
      <w:pPr>
        <w:spacing w:after="200"/>
      </w:pPr>
      <w:r>
        <w:t>This survey reinforces that belief. The gap we've identified isn't in what publishers are doing — it's in what users can discover. That 50% untold story represents significant unrealised value. Publishers have great stories to tell. Many just aren't telling them yet.</w:t>
      </w:r>
    </w:p>
    <w:p w14:paraId="2342D39A" w14:textId="77777777" w:rsidR="00491F9E" w:rsidRDefault="00D4055E">
      <w:pPr>
        <w:spacing w:after="200"/>
      </w:pPr>
      <w:r>
        <w:t>This is all carrot, no stick. We want publishers to succeed. The EAA provides the framework; your accessibility statement provides the opportunity. Let it tell your story.</w:t>
      </w:r>
    </w:p>
    <w:p w14:paraId="55BC741D" w14:textId="77777777" w:rsidR="00712537" w:rsidRDefault="00712537">
      <w:pPr>
        <w:spacing w:after="200"/>
      </w:pPr>
    </w:p>
    <w:p w14:paraId="39BF6D14" w14:textId="77777777" w:rsidR="00491F9E" w:rsidRDefault="00D4055E">
      <w:pPr>
        <w:pStyle w:val="Heading3"/>
      </w:pPr>
      <w:r>
        <w:rPr>
          <w:b/>
          <w:bCs/>
          <w:sz w:val="28"/>
          <w:szCs w:val="28"/>
        </w:rPr>
        <w:t>How ASPIRE Can Help</w:t>
      </w:r>
    </w:p>
    <w:p w14:paraId="7FC86B5C" w14:textId="77777777" w:rsidR="00491F9E" w:rsidRDefault="00D4055E">
      <w:pPr>
        <w:spacing w:after="200"/>
      </w:pPr>
      <w:r>
        <w:t>ASPIRE provides expert assessment of publisher and platform accessibility statements. You'll receive a comprehensive report with recommended enhancements, helping you communicate your accessibility work effectively to users.</w:t>
      </w:r>
    </w:p>
    <w:p w14:paraId="46CB931F" w14:textId="77777777" w:rsidR="00491F9E" w:rsidRDefault="00D4055E">
      <w:pPr>
        <w:spacing w:after="200"/>
      </w:pPr>
      <w:r>
        <w:t>The review process is confidential. Our goal is to help you tell your accessibility story — not to criticise. We provide the criteria upfront; there are no surprises.</w:t>
      </w:r>
    </w:p>
    <w:p w14:paraId="0AD7D8EB" w14:textId="77777777" w:rsidR="00491F9E" w:rsidRDefault="00D4055E">
      <w:pPr>
        <w:spacing w:after="200"/>
      </w:pPr>
      <w:r>
        <w:t>We've helped publishers and platforms across the industry create and refine their accessibility statements.</w:t>
      </w:r>
    </w:p>
    <w:p w14:paraId="15A95BE2" w14:textId="41C7F811" w:rsidR="00491F9E" w:rsidRDefault="00D4055E">
      <w:pPr>
        <w:spacing w:after="200"/>
      </w:pPr>
      <w:r>
        <w:t xml:space="preserve">Contact textBOX about an ASPIRE review: </w:t>
      </w:r>
      <w:hyperlink r:id="rId8" w:history="1">
        <w:r w:rsidR="00407B00" w:rsidRPr="00407B00">
          <w:rPr>
            <w:rStyle w:val="Hyperlink"/>
            <w:color w:val="0F614F"/>
          </w:rPr>
          <w:t>aspire@textboxdigital.com</w:t>
        </w:r>
      </w:hyperlink>
      <w:r w:rsidR="00407B00">
        <w:t xml:space="preserve"> </w:t>
      </w:r>
    </w:p>
    <w:p w14:paraId="1D369C89" w14:textId="5B155DC5" w:rsidR="00491F9E" w:rsidRDefault="00D4055E">
      <w:pPr>
        <w:spacing w:after="200"/>
      </w:pPr>
      <w:r>
        <w:t xml:space="preserve">Learn more about the ASPIRE review process: </w:t>
      </w:r>
      <w:hyperlink r:id="rId9" w:history="1">
        <w:r w:rsidR="00407B00" w:rsidRPr="00407B00">
          <w:rPr>
            <w:rStyle w:val="Hyperlink"/>
            <w:color w:val="0F614F"/>
          </w:rPr>
          <w:t>www.textboxdigital.com/aspire-home</w:t>
        </w:r>
      </w:hyperlink>
      <w:r w:rsidR="00407B00">
        <w:t xml:space="preserve"> </w:t>
      </w:r>
    </w:p>
    <w:p w14:paraId="531FE66C" w14:textId="77777777" w:rsidR="00491F9E" w:rsidRDefault="00D4055E">
      <w:r>
        <w:br w:type="page"/>
      </w:r>
    </w:p>
    <w:p w14:paraId="09D78EFC" w14:textId="77777777" w:rsidR="00491F9E" w:rsidRDefault="00D4055E">
      <w:pPr>
        <w:pStyle w:val="Heading3"/>
      </w:pPr>
      <w:r>
        <w:rPr>
          <w:b/>
          <w:bCs/>
          <w:sz w:val="28"/>
          <w:szCs w:val="28"/>
        </w:rPr>
        <w:lastRenderedPageBreak/>
        <w:t>Methodology</w:t>
      </w:r>
    </w:p>
    <w:p w14:paraId="2D95138B" w14:textId="3A972081" w:rsidR="00491F9E" w:rsidRDefault="00D4055E">
      <w:pPr>
        <w:spacing w:after="200"/>
      </w:pPr>
      <w:r>
        <w:t>This survey assessed 25 major publishers against 5 key ASPIRE indicators. Publishers were selected from English-language academic</w:t>
      </w:r>
      <w:r w:rsidR="006B72DC">
        <w:t>/STM</w:t>
      </w:r>
      <w:r w:rsidR="00800A53">
        <w:t>/professional and</w:t>
      </w:r>
      <w:r>
        <w:t xml:space="preserve"> trade</w:t>
      </w:r>
      <w:r w:rsidR="00800A53">
        <w:t xml:space="preserve"> </w:t>
      </w:r>
      <w:r>
        <w:t>publishing sectors.</w:t>
      </w:r>
    </w:p>
    <w:p w14:paraId="4B1B859A" w14:textId="77777777" w:rsidR="00491F9E" w:rsidRDefault="00D4055E">
      <w:pPr>
        <w:spacing w:after="200"/>
      </w:pPr>
      <w:r>
        <w:t>Each publisher was assessed based solely on the content of their designated accessibility statement page. Information not present on that page was not credited, reflecting the user experience of someone seeking accessibility information.</w:t>
      </w:r>
    </w:p>
    <w:p w14:paraId="79E13112" w14:textId="77777777" w:rsidR="00491F9E" w:rsidRDefault="00D4055E">
      <w:pPr>
        <w:spacing w:after="160"/>
      </w:pPr>
      <w:r>
        <w:rPr>
          <w:b/>
          <w:bCs/>
          <w:sz w:val="24"/>
          <w:szCs w:val="24"/>
        </w:rPr>
        <w:t>Scored indicators (11 points total)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800"/>
        <w:gridCol w:w="6058"/>
      </w:tblGrid>
      <w:tr w:rsidR="00491F9E" w14:paraId="0867E52A" w14:textId="77777777" w:rsidTr="00712537">
        <w:tc>
          <w:tcPr>
            <w:tcW w:w="25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4F246E5B" w14:textId="77777777" w:rsidR="00491F9E" w:rsidRDefault="00D4055E">
            <w:r>
              <w:rPr>
                <w:b/>
                <w:bCs/>
                <w:sz w:val="20"/>
                <w:szCs w:val="20"/>
              </w:rPr>
              <w:t>Indicator</w:t>
            </w:r>
          </w:p>
        </w:tc>
        <w:tc>
          <w:tcPr>
            <w:tcW w:w="80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43AA8BC6" w14:textId="77777777" w:rsidR="00491F9E" w:rsidRDefault="00D4055E" w:rsidP="00B03E14">
            <w:pPr>
              <w:jc w:val="center"/>
            </w:pPr>
            <w:r>
              <w:rPr>
                <w:b/>
                <w:bCs/>
                <w:sz w:val="20"/>
                <w:szCs w:val="20"/>
              </w:rPr>
              <w:t>Max</w:t>
            </w:r>
          </w:p>
        </w:tc>
        <w:tc>
          <w:tcPr>
            <w:tcW w:w="6058"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Mar>
              <w:top w:w="80" w:type="dxa"/>
              <w:left w:w="120" w:type="dxa"/>
              <w:bottom w:w="80" w:type="dxa"/>
              <w:right w:w="120" w:type="dxa"/>
            </w:tcMar>
          </w:tcPr>
          <w:p w14:paraId="00C1084B" w14:textId="77777777" w:rsidR="00491F9E" w:rsidRDefault="00D4055E">
            <w:r>
              <w:rPr>
                <w:b/>
                <w:bCs/>
                <w:sz w:val="20"/>
                <w:szCs w:val="20"/>
              </w:rPr>
              <w:t>Scoring criteria</w:t>
            </w:r>
          </w:p>
        </w:tc>
      </w:tr>
      <w:tr w:rsidR="00491F9E" w14:paraId="7C72D23D" w14:textId="77777777">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CF2D6A" w14:textId="77777777" w:rsidR="00491F9E" w:rsidRDefault="00D4055E">
            <w:r>
              <w:rPr>
                <w:sz w:val="20"/>
                <w:szCs w:val="20"/>
              </w:rPr>
              <w:t>Discoverability</w:t>
            </w:r>
          </w:p>
        </w:tc>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0E007A" w14:textId="77777777" w:rsidR="00491F9E" w:rsidRDefault="00D4055E" w:rsidP="00B03E14">
            <w:pPr>
              <w:jc w:val="center"/>
            </w:pPr>
            <w:r>
              <w:rPr>
                <w:sz w:val="20"/>
                <w:szCs w:val="20"/>
              </w:rPr>
              <w:t>2</w:t>
            </w:r>
          </w:p>
        </w:tc>
        <w:tc>
          <w:tcPr>
            <w:tcW w:w="605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353D06" w14:textId="77777777" w:rsidR="00491F9E" w:rsidRDefault="00D4055E">
            <w:r>
              <w:rPr>
                <w:sz w:val="20"/>
                <w:szCs w:val="20"/>
              </w:rPr>
              <w:t>2 = Easy to find, dedicated page | 1 = Exists but difficult to find | 0 = Not found</w:t>
            </w:r>
          </w:p>
        </w:tc>
      </w:tr>
      <w:tr w:rsidR="00491F9E" w14:paraId="0E92A264" w14:textId="77777777">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85DCD" w14:textId="77777777" w:rsidR="00491F9E" w:rsidRDefault="00D4055E">
            <w:r>
              <w:rPr>
                <w:sz w:val="20"/>
                <w:szCs w:val="20"/>
              </w:rPr>
              <w:t>Currency</w:t>
            </w:r>
          </w:p>
        </w:tc>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337430" w14:textId="77777777" w:rsidR="00491F9E" w:rsidRDefault="00D4055E" w:rsidP="00B03E14">
            <w:pPr>
              <w:jc w:val="center"/>
            </w:pPr>
            <w:r>
              <w:rPr>
                <w:sz w:val="20"/>
                <w:szCs w:val="20"/>
              </w:rPr>
              <w:t>2</w:t>
            </w:r>
          </w:p>
        </w:tc>
        <w:tc>
          <w:tcPr>
            <w:tcW w:w="605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FD32CC" w14:textId="77777777" w:rsidR="00491F9E" w:rsidRDefault="00D4055E">
            <w:r>
              <w:rPr>
                <w:sz w:val="20"/>
                <w:szCs w:val="20"/>
              </w:rPr>
              <w:t>2 = Dated within 12 months | 1 = Dated more than 12 months ago | 0 = No date</w:t>
            </w:r>
          </w:p>
        </w:tc>
      </w:tr>
      <w:tr w:rsidR="00491F9E" w14:paraId="4FCD768A" w14:textId="77777777">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C878F" w14:textId="77777777" w:rsidR="00491F9E" w:rsidRDefault="00D4055E">
            <w:r>
              <w:rPr>
                <w:sz w:val="20"/>
                <w:szCs w:val="20"/>
              </w:rPr>
              <w:t>Contact</w:t>
            </w:r>
          </w:p>
        </w:tc>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993964" w14:textId="77777777" w:rsidR="00491F9E" w:rsidRDefault="00D4055E" w:rsidP="00B03E14">
            <w:pPr>
              <w:jc w:val="center"/>
            </w:pPr>
            <w:r>
              <w:rPr>
                <w:sz w:val="20"/>
                <w:szCs w:val="20"/>
              </w:rPr>
              <w:t>2</w:t>
            </w:r>
          </w:p>
        </w:tc>
        <w:tc>
          <w:tcPr>
            <w:tcW w:w="605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3B6CE6" w14:textId="77777777" w:rsidR="00491F9E" w:rsidRDefault="00D4055E">
            <w:r>
              <w:rPr>
                <w:sz w:val="20"/>
                <w:szCs w:val="20"/>
              </w:rPr>
              <w:t>2 = Dedicated email or named person | 1 = Form or generic contact | 0 = None</w:t>
            </w:r>
          </w:p>
        </w:tc>
      </w:tr>
      <w:tr w:rsidR="00491F9E" w14:paraId="6C87C99C" w14:textId="77777777">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4974CF" w14:textId="77777777" w:rsidR="00491F9E" w:rsidRDefault="00D4055E">
            <w:r>
              <w:rPr>
                <w:sz w:val="20"/>
                <w:szCs w:val="20"/>
              </w:rPr>
              <w:t>Formats</w:t>
            </w:r>
          </w:p>
        </w:tc>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12F985" w14:textId="77777777" w:rsidR="00491F9E" w:rsidRDefault="00D4055E" w:rsidP="00B03E14">
            <w:pPr>
              <w:jc w:val="center"/>
            </w:pPr>
            <w:r>
              <w:rPr>
                <w:sz w:val="20"/>
                <w:szCs w:val="20"/>
              </w:rPr>
              <w:t>2</w:t>
            </w:r>
          </w:p>
        </w:tc>
        <w:tc>
          <w:tcPr>
            <w:tcW w:w="605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FB58BA" w14:textId="77777777" w:rsidR="00491F9E" w:rsidRDefault="00D4055E">
            <w:r>
              <w:rPr>
                <w:sz w:val="20"/>
                <w:szCs w:val="20"/>
              </w:rPr>
              <w:t>2 = Formats listed with detail | 1 = Formats mentioned | 0 = No information</w:t>
            </w:r>
          </w:p>
        </w:tc>
      </w:tr>
      <w:tr w:rsidR="00491F9E" w14:paraId="58538A7F" w14:textId="77777777">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4E510C" w14:textId="77777777" w:rsidR="00491F9E" w:rsidRDefault="00D4055E">
            <w:r>
              <w:rPr>
                <w:sz w:val="20"/>
                <w:szCs w:val="20"/>
              </w:rPr>
              <w:t>Image Descriptions</w:t>
            </w:r>
          </w:p>
        </w:tc>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87F813" w14:textId="77777777" w:rsidR="00491F9E" w:rsidRDefault="00D4055E" w:rsidP="00B03E14">
            <w:pPr>
              <w:jc w:val="center"/>
            </w:pPr>
            <w:r>
              <w:rPr>
                <w:sz w:val="20"/>
                <w:szCs w:val="20"/>
              </w:rPr>
              <w:t>3</w:t>
            </w:r>
          </w:p>
        </w:tc>
        <w:tc>
          <w:tcPr>
            <w:tcW w:w="605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44CC04" w14:textId="77777777" w:rsidR="00491F9E" w:rsidRDefault="00D4055E">
            <w:r>
              <w:rPr>
                <w:sz w:val="20"/>
                <w:szCs w:val="20"/>
              </w:rPr>
              <w:t>3 = Specific commitment | 2 = General mention | 1 = Planned/partial | 0 = Not mentioned</w:t>
            </w:r>
          </w:p>
        </w:tc>
      </w:tr>
    </w:tbl>
    <w:p w14:paraId="17F50A33" w14:textId="77777777" w:rsidR="00491F9E" w:rsidRDefault="00491F9E">
      <w:pPr>
        <w:spacing w:before="200"/>
      </w:pPr>
    </w:p>
    <w:p w14:paraId="2E94F4C2" w14:textId="77777777" w:rsidR="00491F9E" w:rsidRDefault="00D4055E">
      <w:pPr>
        <w:spacing w:after="160"/>
      </w:pPr>
      <w:r>
        <w:rPr>
          <w:b/>
          <w:bCs/>
          <w:sz w:val="24"/>
          <w:szCs w:val="24"/>
        </w:rPr>
        <w:t>Qualitative observations</w:t>
      </w:r>
    </w:p>
    <w:p w14:paraId="237E9317" w14:textId="77777777" w:rsidR="00491F9E" w:rsidRDefault="00D4055E">
      <w:pPr>
        <w:spacing w:after="200"/>
      </w:pPr>
      <w:r>
        <w:t>Additional observations were recorded for GCA certification status, PAAG Charter signatory status, and ASPIRE Gold certification. These inform the narrative findings.</w:t>
      </w:r>
    </w:p>
    <w:p w14:paraId="49DDA050" w14:textId="77777777" w:rsidR="00491F9E" w:rsidRDefault="00D4055E">
      <w:pPr>
        <w:spacing w:after="200"/>
      </w:pPr>
      <w:r>
        <w:t>Results were cross-referenced against the PAAG Charter signatory list and Benetech GCA certified publisher list to identify gaps between achievement and communication.</w:t>
      </w:r>
    </w:p>
    <w:p w14:paraId="565BF76D" w14:textId="77777777" w:rsidR="00181D58" w:rsidRDefault="00D4055E">
      <w:r>
        <w:t>All accessibility statements were assessed on 22 January 2026. Any subsequent changes to publisher statements are not reflected in this survey.</w:t>
      </w:r>
    </w:p>
    <w:p w14:paraId="212FECB0" w14:textId="77777777" w:rsidR="00491F9E" w:rsidRDefault="00491F9E">
      <w:pPr>
        <w:spacing w:before="200"/>
      </w:pPr>
    </w:p>
    <w:p w14:paraId="4697D87B" w14:textId="77777777" w:rsidR="00491F9E" w:rsidRDefault="00D4055E">
      <w:pPr>
        <w:spacing w:after="200"/>
      </w:pPr>
      <w:r>
        <w:rPr>
          <w:i/>
          <w:iCs/>
          <w:sz w:val="20"/>
          <w:szCs w:val="20"/>
        </w:rPr>
        <w:t>Publisher identities have been anonymised. The purpose of this survey is to identify industry patterns and opportunities, not to criticise individual organisations.</w:t>
      </w:r>
    </w:p>
    <w:p w14:paraId="4A58B788" w14:textId="77777777" w:rsidR="00491F9E" w:rsidRDefault="00491F9E">
      <w:pPr>
        <w:spacing w:before="600"/>
      </w:pPr>
    </w:p>
    <w:p w14:paraId="4885B5DF" w14:textId="77777777" w:rsidR="00491F9E" w:rsidRDefault="00D4055E">
      <w:pPr>
        <w:jc w:val="center"/>
      </w:pPr>
      <w:r w:rsidRPr="00C07FC5">
        <w:rPr>
          <w:sz w:val="20"/>
          <w:szCs w:val="20"/>
        </w:rPr>
        <w:t>───────────────────────────────────</w:t>
      </w:r>
    </w:p>
    <w:p w14:paraId="4C9F0134" w14:textId="77777777" w:rsidR="00491F9E" w:rsidRDefault="00D4055E">
      <w:pPr>
        <w:spacing w:before="200"/>
        <w:jc w:val="center"/>
      </w:pPr>
      <w:r>
        <w:rPr>
          <w:sz w:val="20"/>
          <w:szCs w:val="20"/>
        </w:rPr>
        <w:t>Survey conducted January 2026 by ASPIRE and textBOX</w:t>
      </w:r>
    </w:p>
    <w:p w14:paraId="0AFE15E4" w14:textId="738E3926" w:rsidR="006D60DD" w:rsidRPr="006D60DD" w:rsidRDefault="006D60DD">
      <w:pPr>
        <w:spacing w:before="100"/>
        <w:jc w:val="center"/>
        <w:rPr>
          <w:color w:val="0F614F"/>
          <w:sz w:val="20"/>
          <w:szCs w:val="20"/>
        </w:rPr>
      </w:pPr>
      <w:hyperlink r:id="rId10" w:history="1">
        <w:r w:rsidRPr="006D60DD">
          <w:rPr>
            <w:rStyle w:val="Hyperlink"/>
            <w:color w:val="0F614F"/>
            <w:sz w:val="20"/>
            <w:szCs w:val="20"/>
          </w:rPr>
          <w:t>www.textboxdigital.com</w:t>
        </w:r>
      </w:hyperlink>
    </w:p>
    <w:p w14:paraId="48C2DFD1" w14:textId="77777777" w:rsidR="006D60DD" w:rsidRDefault="006D60DD">
      <w:pPr>
        <w:rPr>
          <w:sz w:val="20"/>
          <w:szCs w:val="20"/>
        </w:rPr>
      </w:pPr>
      <w:r>
        <w:rPr>
          <w:sz w:val="20"/>
          <w:szCs w:val="20"/>
        </w:rPr>
        <w:br w:type="page"/>
      </w:r>
    </w:p>
    <w:p w14:paraId="08A9F672" w14:textId="77777777" w:rsidR="000A5C38" w:rsidRPr="000A5C38" w:rsidRDefault="000A5C38" w:rsidP="000B451A">
      <w:pPr>
        <w:pStyle w:val="Heading3"/>
      </w:pPr>
      <w:r w:rsidRPr="000A5C38">
        <w:lastRenderedPageBreak/>
        <w:t>ASPIRE Report: Image Descriptions Annex</w:t>
      </w:r>
    </w:p>
    <w:p w14:paraId="7B603340" w14:textId="1F806FC4" w:rsidR="000A5C38" w:rsidRPr="000A5C38" w:rsidRDefault="000A5C38" w:rsidP="000A5C38">
      <w:pPr>
        <w:spacing w:before="100"/>
      </w:pPr>
      <w:r w:rsidRPr="000A5C38">
        <w:t xml:space="preserve">The following descriptions are provided as an accessibility annex to accompany </w:t>
      </w:r>
      <w:r w:rsidRPr="000A5C38">
        <w:rPr>
          <w:i/>
          <w:iCs/>
        </w:rPr>
        <w:t>The Untold Accessibility Story: How Publishers Are Doing More Than They're Saying</w:t>
      </w:r>
      <w:r w:rsidRPr="000A5C38">
        <w:t>.</w:t>
      </w:r>
    </w:p>
    <w:p w14:paraId="349B152A" w14:textId="77777777" w:rsidR="000A5C38" w:rsidRPr="000A5C38" w:rsidRDefault="000A5C38" w:rsidP="000A5C38">
      <w:pPr>
        <w:spacing w:before="100"/>
      </w:pPr>
      <w:r w:rsidRPr="000A5C38">
        <w:pict w14:anchorId="46E0925A">
          <v:rect id="_x0000_i1043" style="width:0;height:1.5pt" o:hralign="center" o:hrstd="t" o:hr="t" fillcolor="#a0a0a0" stroked="f"/>
        </w:pict>
      </w:r>
    </w:p>
    <w:p w14:paraId="3C87A9ED" w14:textId="77777777" w:rsidR="000A5C38" w:rsidRPr="000A5C38" w:rsidRDefault="000A5C38" w:rsidP="000B451A">
      <w:pPr>
        <w:pStyle w:val="Heading4"/>
      </w:pPr>
      <w:r w:rsidRPr="000A5C38">
        <w:t>Figure 1: The Communication Spectrum</w:t>
      </w:r>
    </w:p>
    <w:p w14:paraId="3B8EAF62" w14:textId="77777777" w:rsidR="000A5C38" w:rsidRPr="000A5C38" w:rsidRDefault="000A5C38" w:rsidP="000A5C38">
      <w:pPr>
        <w:spacing w:before="100"/>
        <w:rPr>
          <w:b/>
          <w:bCs/>
          <w:color w:val="0F614F"/>
        </w:rPr>
      </w:pPr>
      <w:r w:rsidRPr="000A5C38">
        <w:rPr>
          <w:b/>
          <w:bCs/>
          <w:color w:val="0F614F"/>
        </w:rPr>
        <w:t>ALT TEXT</w:t>
      </w:r>
    </w:p>
    <w:p w14:paraId="6BEB049C" w14:textId="1CE0E1AA" w:rsidR="000A5C38" w:rsidRPr="000A5C38" w:rsidRDefault="000A5C38" w:rsidP="000A5C38">
      <w:pPr>
        <w:spacing w:before="100"/>
      </w:pPr>
      <w:r w:rsidRPr="000A5C38">
        <w:t>A radar chart compar</w:t>
      </w:r>
      <w:r>
        <w:t>es</w:t>
      </w:r>
      <w:r w:rsidRPr="000A5C38">
        <w:t xml:space="preserve"> indicator performance across </w:t>
      </w:r>
      <w:r>
        <w:t>3</w:t>
      </w:r>
      <w:r w:rsidRPr="000A5C38">
        <w:t xml:space="preserve"> groups of publishers: the Excellent tier, the Survey Average, and the Poor tier.</w:t>
      </w:r>
    </w:p>
    <w:p w14:paraId="18C2C06B" w14:textId="77777777" w:rsidR="000A5C38" w:rsidRDefault="000A5C38" w:rsidP="000A5C38">
      <w:pPr>
        <w:spacing w:before="100"/>
        <w:rPr>
          <w:b/>
          <w:bCs/>
        </w:rPr>
      </w:pPr>
    </w:p>
    <w:p w14:paraId="321CD5D9" w14:textId="1D4C721F" w:rsidR="000A5C38" w:rsidRPr="000A5C38" w:rsidRDefault="000A5C38" w:rsidP="000A5C38">
      <w:pPr>
        <w:spacing w:before="100"/>
        <w:rPr>
          <w:b/>
          <w:bCs/>
          <w:color w:val="0F614F"/>
        </w:rPr>
      </w:pPr>
      <w:r w:rsidRPr="000A5C38">
        <w:rPr>
          <w:b/>
          <w:bCs/>
          <w:color w:val="0F614F"/>
        </w:rPr>
        <w:t>LONG DESCRIPTION</w:t>
      </w:r>
    </w:p>
    <w:p w14:paraId="1744C55E" w14:textId="77777777" w:rsidR="000A5C38" w:rsidRPr="000A5C38" w:rsidRDefault="000A5C38" w:rsidP="000A5C38">
      <w:pPr>
        <w:spacing w:before="100"/>
      </w:pPr>
      <w:r w:rsidRPr="000A5C38">
        <w:t>The description of the radar chart is presented in 4 main sections as follows.</w:t>
      </w:r>
    </w:p>
    <w:p w14:paraId="44547154" w14:textId="77777777" w:rsidR="000A5C38" w:rsidRPr="000A5C38" w:rsidRDefault="000A5C38" w:rsidP="000A5C38">
      <w:pPr>
        <w:spacing w:before="100"/>
        <w:rPr>
          <w:b/>
          <w:bCs/>
        </w:rPr>
      </w:pPr>
      <w:r w:rsidRPr="000A5C38">
        <w:rPr>
          <w:b/>
          <w:bCs/>
        </w:rPr>
        <w:t>Section 1. Context.</w:t>
      </w:r>
    </w:p>
    <w:p w14:paraId="768C769C" w14:textId="01C66509" w:rsidR="000A5C38" w:rsidRPr="000A5C38" w:rsidRDefault="000A5C38" w:rsidP="000A5C38">
      <w:pPr>
        <w:spacing w:before="100"/>
      </w:pPr>
      <w:r w:rsidRPr="000A5C38">
        <w:t>Th</w:t>
      </w:r>
      <w:r>
        <w:t>e</w:t>
      </w:r>
      <w:r w:rsidRPr="000A5C38">
        <w:t xml:space="preserve"> chart illustrates the performance gap between the highest-scoring and lowest-scoring publishers in the ASPIRE survey, with the survey average shown for comparison. The visualisation demonstrates what excellence looks like across the </w:t>
      </w:r>
      <w:r w:rsidR="00596F54">
        <w:t>5</w:t>
      </w:r>
      <w:r w:rsidRPr="000A5C38">
        <w:t xml:space="preserve"> ASPIRE indicators, and how significantly the poorest performers fall short. The Excellent tier comprises the 6 publishers scoring 10 or 11 out of 11. The Poor tier comprises the 7 publishers scoring 3 or below.</w:t>
      </w:r>
    </w:p>
    <w:p w14:paraId="05AF2960" w14:textId="77777777" w:rsidR="000A5C38" w:rsidRPr="000A5C38" w:rsidRDefault="000A5C38" w:rsidP="000A5C38">
      <w:pPr>
        <w:spacing w:before="100"/>
        <w:rPr>
          <w:b/>
          <w:bCs/>
        </w:rPr>
      </w:pPr>
      <w:r w:rsidRPr="000A5C38">
        <w:rPr>
          <w:b/>
          <w:bCs/>
        </w:rPr>
        <w:t>Section 2. Structure.</w:t>
      </w:r>
    </w:p>
    <w:p w14:paraId="2BD2EE2A" w14:textId="77777777" w:rsidR="000A5C38" w:rsidRPr="000A5C38" w:rsidRDefault="000A5C38" w:rsidP="000A5C38">
      <w:pPr>
        <w:spacing w:before="100"/>
      </w:pPr>
      <w:r w:rsidRPr="000A5C38">
        <w:t>The radar chart has 5 spokes radiating from the centre, each representing one of the ASPIRE indicators. The spokes are labelled Contact, Currency, Discoverability, Formats, and Image Descriptions. All axes share the same percentage scale, marked at 25 per cent, 50 per cent, 75 per cent, and 100 per cent from the centre outward.</w:t>
      </w:r>
    </w:p>
    <w:p w14:paraId="56079421" w14:textId="77777777" w:rsidR="000A5C38" w:rsidRPr="000A5C38" w:rsidRDefault="000A5C38" w:rsidP="000A5C38">
      <w:pPr>
        <w:spacing w:before="100"/>
      </w:pPr>
      <w:r w:rsidRPr="000A5C38">
        <w:t>Three polygons are plotted on the chart. The Excellent tier is shown in green with a light green fill. The Survey Average is shown in orange with a light orange fill. The Poor tier is shown in red with no fill. A legend below the chart identifies each group: Excellent as scores of 10 to 11, Survey Average, and Poor as scores of 0 to 3.</w:t>
      </w:r>
    </w:p>
    <w:p w14:paraId="7BCA8BC7" w14:textId="77777777" w:rsidR="000A5C38" w:rsidRPr="000A5C38" w:rsidRDefault="000A5C38" w:rsidP="000A5C38">
      <w:pPr>
        <w:spacing w:before="100"/>
        <w:rPr>
          <w:b/>
          <w:bCs/>
        </w:rPr>
      </w:pPr>
      <w:r w:rsidRPr="000A5C38">
        <w:rPr>
          <w:b/>
          <w:bCs/>
        </w:rPr>
        <w:t>Section 3. Walkthrough.</w:t>
      </w:r>
    </w:p>
    <w:p w14:paraId="246150AC" w14:textId="51AF00B4" w:rsidR="000A5C38" w:rsidRPr="000A5C38" w:rsidRDefault="000A5C38" w:rsidP="000A5C38">
      <w:pPr>
        <w:spacing w:before="100"/>
      </w:pPr>
      <w:r w:rsidRPr="000A5C38">
        <w:t xml:space="preserve">The </w:t>
      </w:r>
      <w:r w:rsidR="009B484F">
        <w:t>3</w:t>
      </w:r>
      <w:r w:rsidRPr="000A5C38">
        <w:t xml:space="preserve"> shapes tell a striking story of divergence</w:t>
      </w:r>
      <w:r w:rsidR="009B484F">
        <w:t xml:space="preserve"> as follows.</w:t>
      </w:r>
    </w:p>
    <w:p w14:paraId="4460A83B" w14:textId="610BA94F" w:rsidR="000A5C38" w:rsidRPr="000A5C38" w:rsidRDefault="00AC58DC" w:rsidP="009B484F">
      <w:pPr>
        <w:pStyle w:val="ListParagraph"/>
        <w:numPr>
          <w:ilvl w:val="0"/>
          <w:numId w:val="11"/>
        </w:numPr>
        <w:spacing w:before="100"/>
      </w:pPr>
      <w:r w:rsidRPr="00AC58DC">
        <w:rPr>
          <w:b/>
          <w:bCs/>
        </w:rPr>
        <w:t>Excellent.</w:t>
      </w:r>
      <w:r>
        <w:t xml:space="preserve"> </w:t>
      </w:r>
      <w:r w:rsidR="000A5C38" w:rsidRPr="000A5C38">
        <w:t xml:space="preserve">The Excellent tier polygon nearly fills the chart, forming a large, well-balanced shape. It achieves 100 per cent on </w:t>
      </w:r>
      <w:r w:rsidR="002D4C3A">
        <w:t>3</w:t>
      </w:r>
      <w:r w:rsidR="000A5C38" w:rsidRPr="000A5C38">
        <w:t xml:space="preserve"> indicators: Discoverability, Contact, and Formats. Currency reaches 92 per cent, and Image Descriptions, at 78 per cent, represents the only notable gap from the outer edge.</w:t>
      </w:r>
    </w:p>
    <w:p w14:paraId="4B22BFCB" w14:textId="61225EED" w:rsidR="000A5C38" w:rsidRPr="000A5C38" w:rsidRDefault="00AC58DC" w:rsidP="009B484F">
      <w:pPr>
        <w:pStyle w:val="ListParagraph"/>
        <w:numPr>
          <w:ilvl w:val="0"/>
          <w:numId w:val="11"/>
        </w:numPr>
        <w:spacing w:before="100"/>
      </w:pPr>
      <w:r w:rsidRPr="00AC58DC">
        <w:rPr>
          <w:b/>
          <w:bCs/>
        </w:rPr>
        <w:t>Average.</w:t>
      </w:r>
      <w:r>
        <w:t xml:space="preserve"> </w:t>
      </w:r>
      <w:r w:rsidR="000A5C38" w:rsidRPr="000A5C38">
        <w:t xml:space="preserve">The Survey Average polygon is considerably smaller and more irregular. Discoverability remains strong at 80 per cent, and Contact holds at 72 per cent. However, the shape collapses inward on the remaining </w:t>
      </w:r>
      <w:r w:rsidR="002D4C3A">
        <w:t>3</w:t>
      </w:r>
      <w:r w:rsidR="000A5C38" w:rsidRPr="000A5C38">
        <w:t xml:space="preserve"> indicators: Formats drops to 50 per cent, Image Descriptions to 32 per cent, and Currency to just 26 per cent.</w:t>
      </w:r>
    </w:p>
    <w:p w14:paraId="0F2498DA" w14:textId="6C4AF6EF" w:rsidR="000A5C38" w:rsidRPr="000A5C38" w:rsidRDefault="00AC58DC" w:rsidP="009B484F">
      <w:pPr>
        <w:pStyle w:val="ListParagraph"/>
        <w:numPr>
          <w:ilvl w:val="0"/>
          <w:numId w:val="11"/>
        </w:numPr>
        <w:spacing w:before="100"/>
      </w:pPr>
      <w:r w:rsidRPr="00AC58DC">
        <w:rPr>
          <w:b/>
          <w:bCs/>
        </w:rPr>
        <w:t>Poor.</w:t>
      </w:r>
      <w:r>
        <w:t xml:space="preserve"> </w:t>
      </w:r>
      <w:r w:rsidR="000A5C38" w:rsidRPr="000A5C38">
        <w:t>The Poor tier polygon is dramatically smaller, hugging the centre of the chart. Discoverability reaches only 50 per cent, Contact falls to 21 per cent, and the remaining three indicators, Currency, Formats, and Image Descriptions, all score zero. The shape is essentially a small wedge pointing toward Discoverability, with nothing extending toward the other axes.</w:t>
      </w:r>
    </w:p>
    <w:p w14:paraId="0A08AF53" w14:textId="77777777" w:rsidR="000A5C38" w:rsidRPr="000A5C38" w:rsidRDefault="000A5C38" w:rsidP="000A5C38">
      <w:pPr>
        <w:spacing w:before="100"/>
      </w:pPr>
      <w:r w:rsidRPr="000A5C38">
        <w:lastRenderedPageBreak/>
        <w:t>The visual contrast between the expansive green polygon and the collapsed red shape illustrates the scale of the opportunity gap identified in the survey.</w:t>
      </w:r>
    </w:p>
    <w:p w14:paraId="0A3ACB9D" w14:textId="77777777" w:rsidR="000A5C38" w:rsidRPr="000A5C38" w:rsidRDefault="000A5C38" w:rsidP="000A5C38">
      <w:pPr>
        <w:spacing w:before="100"/>
        <w:rPr>
          <w:b/>
          <w:bCs/>
        </w:rPr>
      </w:pPr>
      <w:r w:rsidRPr="000A5C38">
        <w:rPr>
          <w:b/>
          <w:bCs/>
        </w:rPr>
        <w:t>Section 4. Data.</w:t>
      </w:r>
    </w:p>
    <w:p w14:paraId="0CA1EBF4" w14:textId="77777777" w:rsidR="000A5C38" w:rsidRDefault="000A5C38" w:rsidP="002D4C3A">
      <w:pPr>
        <w:spacing w:before="100" w:after="160"/>
      </w:pPr>
      <w:r w:rsidRPr="000A5C38">
        <w:t>The data are presented in the following table, ordered clockwise from 12 o'clock.</w:t>
      </w:r>
    </w:p>
    <w:tbl>
      <w:tblPr>
        <w:tblStyle w:val="GridTable1Light"/>
        <w:tblW w:w="5000" w:type="pct"/>
        <w:tblLook w:val="04A0" w:firstRow="1" w:lastRow="0" w:firstColumn="1" w:lastColumn="0" w:noHBand="0" w:noVBand="1"/>
      </w:tblPr>
      <w:tblGrid>
        <w:gridCol w:w="2889"/>
        <w:gridCol w:w="2536"/>
        <w:gridCol w:w="2332"/>
        <w:gridCol w:w="1593"/>
      </w:tblGrid>
      <w:tr w:rsidR="000A5C38" w:rsidRPr="000B451A" w14:paraId="2C48D938" w14:textId="77777777" w:rsidTr="0062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pct"/>
            <w:shd w:val="clear" w:color="auto" w:fill="D9F2D0" w:themeFill="accent6" w:themeFillTint="33"/>
            <w:hideMark/>
          </w:tcPr>
          <w:p w14:paraId="3AE59FAC" w14:textId="77777777" w:rsidR="000A5C38" w:rsidRPr="000B451A" w:rsidRDefault="000A5C38" w:rsidP="000A5C38">
            <w:pPr>
              <w:spacing w:before="100"/>
              <w:rPr>
                <w:sz w:val="16"/>
                <w:szCs w:val="16"/>
              </w:rPr>
            </w:pPr>
            <w:r w:rsidRPr="000B451A">
              <w:rPr>
                <w:sz w:val="16"/>
                <w:szCs w:val="16"/>
              </w:rPr>
              <w:t>Indicator</w:t>
            </w:r>
          </w:p>
        </w:tc>
        <w:tc>
          <w:tcPr>
            <w:tcW w:w="1356" w:type="pct"/>
            <w:shd w:val="clear" w:color="auto" w:fill="D9F2D0" w:themeFill="accent6" w:themeFillTint="33"/>
            <w:hideMark/>
          </w:tcPr>
          <w:p w14:paraId="162B4D86" w14:textId="77777777" w:rsidR="000A5C38" w:rsidRPr="000B451A" w:rsidRDefault="000A5C38" w:rsidP="000A5C38">
            <w:pPr>
              <w:spacing w:before="100"/>
              <w:cnfStyle w:val="100000000000" w:firstRow="1" w:lastRow="0" w:firstColumn="0" w:lastColumn="0" w:oddVBand="0" w:evenVBand="0" w:oddHBand="0" w:evenHBand="0" w:firstRowFirstColumn="0" w:firstRowLastColumn="0" w:lastRowFirstColumn="0" w:lastRowLastColumn="0"/>
              <w:rPr>
                <w:sz w:val="16"/>
                <w:szCs w:val="16"/>
              </w:rPr>
            </w:pPr>
            <w:r w:rsidRPr="000B451A">
              <w:rPr>
                <w:sz w:val="16"/>
                <w:szCs w:val="16"/>
              </w:rPr>
              <w:t>Excellent (10–11)</w:t>
            </w:r>
          </w:p>
        </w:tc>
        <w:tc>
          <w:tcPr>
            <w:tcW w:w="1247" w:type="pct"/>
            <w:shd w:val="clear" w:color="auto" w:fill="D9F2D0" w:themeFill="accent6" w:themeFillTint="33"/>
            <w:hideMark/>
          </w:tcPr>
          <w:p w14:paraId="1649BE76" w14:textId="77777777" w:rsidR="000A5C38" w:rsidRPr="000B451A" w:rsidRDefault="000A5C38" w:rsidP="000A5C38">
            <w:pPr>
              <w:spacing w:before="100"/>
              <w:cnfStyle w:val="100000000000" w:firstRow="1" w:lastRow="0" w:firstColumn="0" w:lastColumn="0" w:oddVBand="0" w:evenVBand="0" w:oddHBand="0" w:evenHBand="0" w:firstRowFirstColumn="0" w:firstRowLastColumn="0" w:lastRowFirstColumn="0" w:lastRowLastColumn="0"/>
              <w:rPr>
                <w:sz w:val="16"/>
                <w:szCs w:val="16"/>
              </w:rPr>
            </w:pPr>
            <w:r w:rsidRPr="000B451A">
              <w:rPr>
                <w:sz w:val="16"/>
                <w:szCs w:val="16"/>
              </w:rPr>
              <w:t>Survey Average</w:t>
            </w:r>
          </w:p>
        </w:tc>
        <w:tc>
          <w:tcPr>
            <w:tcW w:w="852" w:type="pct"/>
            <w:shd w:val="clear" w:color="auto" w:fill="D9F2D0" w:themeFill="accent6" w:themeFillTint="33"/>
            <w:hideMark/>
          </w:tcPr>
          <w:p w14:paraId="261C71DC" w14:textId="77777777" w:rsidR="000A5C38" w:rsidRPr="000B451A" w:rsidRDefault="000A5C38" w:rsidP="000A5C38">
            <w:pPr>
              <w:spacing w:before="100"/>
              <w:cnfStyle w:val="100000000000" w:firstRow="1" w:lastRow="0" w:firstColumn="0" w:lastColumn="0" w:oddVBand="0" w:evenVBand="0" w:oddHBand="0" w:evenHBand="0" w:firstRowFirstColumn="0" w:firstRowLastColumn="0" w:lastRowFirstColumn="0" w:lastRowLastColumn="0"/>
              <w:rPr>
                <w:sz w:val="16"/>
                <w:szCs w:val="16"/>
              </w:rPr>
            </w:pPr>
            <w:r w:rsidRPr="000B451A">
              <w:rPr>
                <w:sz w:val="16"/>
                <w:szCs w:val="16"/>
              </w:rPr>
              <w:t>Poor (0–3)</w:t>
            </w:r>
          </w:p>
        </w:tc>
      </w:tr>
      <w:tr w:rsidR="000A5C38" w:rsidRPr="000B451A" w14:paraId="61D628E3" w14:textId="77777777" w:rsidTr="002D4C3A">
        <w:tc>
          <w:tcPr>
            <w:cnfStyle w:val="001000000000" w:firstRow="0" w:lastRow="0" w:firstColumn="1" w:lastColumn="0" w:oddVBand="0" w:evenVBand="0" w:oddHBand="0" w:evenHBand="0" w:firstRowFirstColumn="0" w:firstRowLastColumn="0" w:lastRowFirstColumn="0" w:lastRowLastColumn="0"/>
            <w:tcW w:w="1545" w:type="pct"/>
            <w:hideMark/>
          </w:tcPr>
          <w:p w14:paraId="01C1FA16" w14:textId="77777777" w:rsidR="000A5C38" w:rsidRPr="000B451A" w:rsidRDefault="000A5C38" w:rsidP="000A5C38">
            <w:pPr>
              <w:spacing w:before="100"/>
              <w:rPr>
                <w:sz w:val="16"/>
                <w:szCs w:val="16"/>
              </w:rPr>
            </w:pPr>
            <w:r w:rsidRPr="000B451A">
              <w:rPr>
                <w:sz w:val="16"/>
                <w:szCs w:val="16"/>
              </w:rPr>
              <w:t>Discoverability</w:t>
            </w:r>
          </w:p>
        </w:tc>
        <w:tc>
          <w:tcPr>
            <w:tcW w:w="1356" w:type="pct"/>
            <w:hideMark/>
          </w:tcPr>
          <w:p w14:paraId="09A3CF13"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100%</w:t>
            </w:r>
          </w:p>
        </w:tc>
        <w:tc>
          <w:tcPr>
            <w:tcW w:w="1247" w:type="pct"/>
            <w:hideMark/>
          </w:tcPr>
          <w:p w14:paraId="6C4BBE67"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80%</w:t>
            </w:r>
          </w:p>
        </w:tc>
        <w:tc>
          <w:tcPr>
            <w:tcW w:w="852" w:type="pct"/>
            <w:hideMark/>
          </w:tcPr>
          <w:p w14:paraId="30D47696"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50%</w:t>
            </w:r>
          </w:p>
        </w:tc>
      </w:tr>
      <w:tr w:rsidR="000A5C38" w:rsidRPr="000B451A" w14:paraId="54567586" w14:textId="77777777" w:rsidTr="002D4C3A">
        <w:tc>
          <w:tcPr>
            <w:cnfStyle w:val="001000000000" w:firstRow="0" w:lastRow="0" w:firstColumn="1" w:lastColumn="0" w:oddVBand="0" w:evenVBand="0" w:oddHBand="0" w:evenHBand="0" w:firstRowFirstColumn="0" w:firstRowLastColumn="0" w:lastRowFirstColumn="0" w:lastRowLastColumn="0"/>
            <w:tcW w:w="1545" w:type="pct"/>
            <w:hideMark/>
          </w:tcPr>
          <w:p w14:paraId="6FEB88D8" w14:textId="77777777" w:rsidR="000A5C38" w:rsidRPr="000B451A" w:rsidRDefault="000A5C38" w:rsidP="000A5C38">
            <w:pPr>
              <w:spacing w:before="100"/>
              <w:rPr>
                <w:sz w:val="16"/>
                <w:szCs w:val="16"/>
              </w:rPr>
            </w:pPr>
            <w:r w:rsidRPr="000B451A">
              <w:rPr>
                <w:sz w:val="16"/>
                <w:szCs w:val="16"/>
              </w:rPr>
              <w:t>Currency</w:t>
            </w:r>
          </w:p>
        </w:tc>
        <w:tc>
          <w:tcPr>
            <w:tcW w:w="1356" w:type="pct"/>
            <w:hideMark/>
          </w:tcPr>
          <w:p w14:paraId="39EDB464"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92%</w:t>
            </w:r>
          </w:p>
        </w:tc>
        <w:tc>
          <w:tcPr>
            <w:tcW w:w="1247" w:type="pct"/>
            <w:hideMark/>
          </w:tcPr>
          <w:p w14:paraId="6F2E25C9"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26%</w:t>
            </w:r>
          </w:p>
        </w:tc>
        <w:tc>
          <w:tcPr>
            <w:tcW w:w="852" w:type="pct"/>
            <w:hideMark/>
          </w:tcPr>
          <w:p w14:paraId="586C7878"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0%</w:t>
            </w:r>
          </w:p>
        </w:tc>
      </w:tr>
      <w:tr w:rsidR="000A5C38" w:rsidRPr="000B451A" w14:paraId="055302AA" w14:textId="77777777" w:rsidTr="002D4C3A">
        <w:tc>
          <w:tcPr>
            <w:cnfStyle w:val="001000000000" w:firstRow="0" w:lastRow="0" w:firstColumn="1" w:lastColumn="0" w:oddVBand="0" w:evenVBand="0" w:oddHBand="0" w:evenHBand="0" w:firstRowFirstColumn="0" w:firstRowLastColumn="0" w:lastRowFirstColumn="0" w:lastRowLastColumn="0"/>
            <w:tcW w:w="1545" w:type="pct"/>
            <w:hideMark/>
          </w:tcPr>
          <w:p w14:paraId="13E77F08" w14:textId="77777777" w:rsidR="000A5C38" w:rsidRPr="000B451A" w:rsidRDefault="000A5C38" w:rsidP="000A5C38">
            <w:pPr>
              <w:spacing w:before="100"/>
              <w:rPr>
                <w:sz w:val="16"/>
                <w:szCs w:val="16"/>
              </w:rPr>
            </w:pPr>
            <w:r w:rsidRPr="000B451A">
              <w:rPr>
                <w:sz w:val="16"/>
                <w:szCs w:val="16"/>
              </w:rPr>
              <w:t>Contact</w:t>
            </w:r>
          </w:p>
        </w:tc>
        <w:tc>
          <w:tcPr>
            <w:tcW w:w="1356" w:type="pct"/>
            <w:hideMark/>
          </w:tcPr>
          <w:p w14:paraId="33011838"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100%</w:t>
            </w:r>
          </w:p>
        </w:tc>
        <w:tc>
          <w:tcPr>
            <w:tcW w:w="1247" w:type="pct"/>
            <w:hideMark/>
          </w:tcPr>
          <w:p w14:paraId="4C0AECAB"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72%</w:t>
            </w:r>
          </w:p>
        </w:tc>
        <w:tc>
          <w:tcPr>
            <w:tcW w:w="852" w:type="pct"/>
            <w:hideMark/>
          </w:tcPr>
          <w:p w14:paraId="5A262B2B"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21%</w:t>
            </w:r>
          </w:p>
        </w:tc>
      </w:tr>
      <w:tr w:rsidR="000A5C38" w:rsidRPr="000B451A" w14:paraId="5A881707" w14:textId="77777777" w:rsidTr="002D4C3A">
        <w:tc>
          <w:tcPr>
            <w:cnfStyle w:val="001000000000" w:firstRow="0" w:lastRow="0" w:firstColumn="1" w:lastColumn="0" w:oddVBand="0" w:evenVBand="0" w:oddHBand="0" w:evenHBand="0" w:firstRowFirstColumn="0" w:firstRowLastColumn="0" w:lastRowFirstColumn="0" w:lastRowLastColumn="0"/>
            <w:tcW w:w="1545" w:type="pct"/>
            <w:hideMark/>
          </w:tcPr>
          <w:p w14:paraId="5C99F8C4" w14:textId="77777777" w:rsidR="000A5C38" w:rsidRPr="000B451A" w:rsidRDefault="000A5C38" w:rsidP="000A5C38">
            <w:pPr>
              <w:spacing w:before="100"/>
              <w:rPr>
                <w:sz w:val="16"/>
                <w:szCs w:val="16"/>
              </w:rPr>
            </w:pPr>
            <w:r w:rsidRPr="000B451A">
              <w:rPr>
                <w:sz w:val="16"/>
                <w:szCs w:val="16"/>
              </w:rPr>
              <w:t>Formats</w:t>
            </w:r>
          </w:p>
        </w:tc>
        <w:tc>
          <w:tcPr>
            <w:tcW w:w="1356" w:type="pct"/>
            <w:hideMark/>
          </w:tcPr>
          <w:p w14:paraId="19E95C36"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100%</w:t>
            </w:r>
          </w:p>
        </w:tc>
        <w:tc>
          <w:tcPr>
            <w:tcW w:w="1247" w:type="pct"/>
            <w:hideMark/>
          </w:tcPr>
          <w:p w14:paraId="28833166"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50%</w:t>
            </w:r>
          </w:p>
        </w:tc>
        <w:tc>
          <w:tcPr>
            <w:tcW w:w="852" w:type="pct"/>
            <w:hideMark/>
          </w:tcPr>
          <w:p w14:paraId="4C0AEF38"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0%</w:t>
            </w:r>
          </w:p>
        </w:tc>
      </w:tr>
      <w:tr w:rsidR="000A5C38" w:rsidRPr="000B451A" w14:paraId="460CC438" w14:textId="77777777" w:rsidTr="002D4C3A">
        <w:tc>
          <w:tcPr>
            <w:cnfStyle w:val="001000000000" w:firstRow="0" w:lastRow="0" w:firstColumn="1" w:lastColumn="0" w:oddVBand="0" w:evenVBand="0" w:oddHBand="0" w:evenHBand="0" w:firstRowFirstColumn="0" w:firstRowLastColumn="0" w:lastRowFirstColumn="0" w:lastRowLastColumn="0"/>
            <w:tcW w:w="1545" w:type="pct"/>
            <w:hideMark/>
          </w:tcPr>
          <w:p w14:paraId="31E83FA9" w14:textId="77777777" w:rsidR="000A5C38" w:rsidRPr="000B451A" w:rsidRDefault="000A5C38" w:rsidP="000A5C38">
            <w:pPr>
              <w:spacing w:before="100"/>
              <w:rPr>
                <w:sz w:val="16"/>
                <w:szCs w:val="16"/>
              </w:rPr>
            </w:pPr>
            <w:r w:rsidRPr="000B451A">
              <w:rPr>
                <w:sz w:val="16"/>
                <w:szCs w:val="16"/>
              </w:rPr>
              <w:t>Image Descriptions</w:t>
            </w:r>
          </w:p>
        </w:tc>
        <w:tc>
          <w:tcPr>
            <w:tcW w:w="1356" w:type="pct"/>
            <w:hideMark/>
          </w:tcPr>
          <w:p w14:paraId="35DF0140"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78%</w:t>
            </w:r>
          </w:p>
        </w:tc>
        <w:tc>
          <w:tcPr>
            <w:tcW w:w="1247" w:type="pct"/>
            <w:hideMark/>
          </w:tcPr>
          <w:p w14:paraId="473FB955"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32%</w:t>
            </w:r>
          </w:p>
        </w:tc>
        <w:tc>
          <w:tcPr>
            <w:tcW w:w="852" w:type="pct"/>
            <w:hideMark/>
          </w:tcPr>
          <w:p w14:paraId="72B5DDD9" w14:textId="77777777" w:rsidR="000A5C38" w:rsidRPr="000B451A"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0B451A">
              <w:rPr>
                <w:sz w:val="16"/>
                <w:szCs w:val="16"/>
              </w:rPr>
              <w:t>0%</w:t>
            </w:r>
          </w:p>
        </w:tc>
      </w:tr>
    </w:tbl>
    <w:p w14:paraId="498D4997" w14:textId="77777777" w:rsidR="00A42489" w:rsidRDefault="00A42489" w:rsidP="000A5C38">
      <w:pPr>
        <w:spacing w:before="100"/>
      </w:pPr>
    </w:p>
    <w:p w14:paraId="72D071E1" w14:textId="58F4FCA6" w:rsidR="000A5C38" w:rsidRDefault="000A5C38" w:rsidP="00C07FC5">
      <w:r w:rsidRPr="000A5C38">
        <w:t>Description ends.</w:t>
      </w:r>
    </w:p>
    <w:p w14:paraId="4ADA4659" w14:textId="77777777" w:rsidR="00C440C0" w:rsidRDefault="00C440C0" w:rsidP="00A42489"/>
    <w:p w14:paraId="7C7AE781" w14:textId="77777777" w:rsidR="00C440C0" w:rsidRPr="000A5C38" w:rsidRDefault="00C440C0" w:rsidP="00A42489"/>
    <w:p w14:paraId="41ADC743" w14:textId="5DBA1447" w:rsidR="000A5C38" w:rsidRPr="000A5C38" w:rsidRDefault="000A5C38" w:rsidP="000A5C38">
      <w:pPr>
        <w:spacing w:before="100"/>
      </w:pPr>
    </w:p>
    <w:p w14:paraId="5363F229" w14:textId="77777777" w:rsidR="00C46F9E" w:rsidRDefault="00C46F9E">
      <w:pPr>
        <w:rPr>
          <w:i/>
          <w:iCs/>
          <w:color w:val="0F614F"/>
        </w:rPr>
      </w:pPr>
      <w:r>
        <w:br w:type="page"/>
      </w:r>
    </w:p>
    <w:p w14:paraId="42C23F5D" w14:textId="46A8C394" w:rsidR="000A5C38" w:rsidRPr="000A5C38" w:rsidRDefault="000A5C38" w:rsidP="00A42489">
      <w:pPr>
        <w:pStyle w:val="Heading4"/>
      </w:pPr>
      <w:r w:rsidRPr="000A5C38">
        <w:lastRenderedPageBreak/>
        <w:t>Figure 2: The ASPIRE Difference</w:t>
      </w:r>
    </w:p>
    <w:p w14:paraId="3105AD73" w14:textId="77777777" w:rsidR="000A5C38" w:rsidRPr="00C440C0" w:rsidRDefault="000A5C38" w:rsidP="000A5C38">
      <w:pPr>
        <w:spacing w:before="100"/>
        <w:rPr>
          <w:b/>
          <w:bCs/>
          <w:color w:val="0F614F"/>
        </w:rPr>
      </w:pPr>
      <w:r w:rsidRPr="00C440C0">
        <w:rPr>
          <w:b/>
          <w:bCs/>
          <w:color w:val="0F614F"/>
        </w:rPr>
        <w:t>ALT TEXT</w:t>
      </w:r>
    </w:p>
    <w:p w14:paraId="41DBE660" w14:textId="6F646D0B" w:rsidR="000A5C38" w:rsidRDefault="000A5C38" w:rsidP="000A5C38">
      <w:pPr>
        <w:spacing w:before="100"/>
      </w:pPr>
      <w:r w:rsidRPr="000A5C38">
        <w:t>A radar chart compar</w:t>
      </w:r>
      <w:r w:rsidR="00A42489">
        <w:t>es</w:t>
      </w:r>
      <w:r w:rsidRPr="000A5C38">
        <w:t xml:space="preserve"> indicator performance between ASPIRE Gold publishers and all other publishers in the survey.</w:t>
      </w:r>
    </w:p>
    <w:p w14:paraId="67CC08FB" w14:textId="77777777" w:rsidR="00C440C0" w:rsidRPr="000A5C38" w:rsidRDefault="00C440C0" w:rsidP="000A5C38">
      <w:pPr>
        <w:spacing w:before="100"/>
      </w:pPr>
    </w:p>
    <w:p w14:paraId="2C21C34C" w14:textId="77777777" w:rsidR="000A5C38" w:rsidRPr="00C440C0" w:rsidRDefault="000A5C38" w:rsidP="000A5C38">
      <w:pPr>
        <w:spacing w:before="100"/>
        <w:rPr>
          <w:b/>
          <w:bCs/>
          <w:color w:val="0F614F"/>
        </w:rPr>
      </w:pPr>
      <w:r w:rsidRPr="00C440C0">
        <w:rPr>
          <w:b/>
          <w:bCs/>
          <w:color w:val="0F614F"/>
        </w:rPr>
        <w:t>LONG DESCRIPTION</w:t>
      </w:r>
    </w:p>
    <w:p w14:paraId="264E0CF5" w14:textId="77777777" w:rsidR="000A5C38" w:rsidRPr="000A5C38" w:rsidRDefault="000A5C38" w:rsidP="000A5C38">
      <w:pPr>
        <w:spacing w:before="100"/>
      </w:pPr>
      <w:r w:rsidRPr="000A5C38">
        <w:t>The description of the radar chart is presented in 4 main sections as follows.</w:t>
      </w:r>
    </w:p>
    <w:p w14:paraId="1B53DE62" w14:textId="77777777" w:rsidR="000A5C38" w:rsidRPr="000A5C38" w:rsidRDefault="000A5C38" w:rsidP="000A5C38">
      <w:pPr>
        <w:spacing w:before="100"/>
        <w:rPr>
          <w:b/>
          <w:bCs/>
        </w:rPr>
      </w:pPr>
      <w:r w:rsidRPr="000A5C38">
        <w:rPr>
          <w:b/>
          <w:bCs/>
        </w:rPr>
        <w:t>Section 1. Context.</w:t>
      </w:r>
    </w:p>
    <w:p w14:paraId="7B872519" w14:textId="3266309A" w:rsidR="000A5C38" w:rsidRPr="000A5C38" w:rsidRDefault="000A5C38" w:rsidP="000A5C38">
      <w:pPr>
        <w:spacing w:before="100"/>
      </w:pPr>
      <w:r w:rsidRPr="000A5C38">
        <w:t>Th</w:t>
      </w:r>
      <w:r w:rsidR="00A42489">
        <w:t>e</w:t>
      </w:r>
      <w:r w:rsidRPr="000A5C38">
        <w:t xml:space="preserve"> chart demonstrates the difference in accessibility communication between publishers who have undergone ASPIRE review and achieved Gold certification compared with the remaining publishers in the survey. Four publishers hold ASPIRE Gold status. The remaining 21 publishers form the comparison group.</w:t>
      </w:r>
    </w:p>
    <w:p w14:paraId="0AA72593" w14:textId="77777777" w:rsidR="000A5C38" w:rsidRPr="000A5C38" w:rsidRDefault="000A5C38" w:rsidP="000A5C38">
      <w:pPr>
        <w:spacing w:before="100"/>
        <w:rPr>
          <w:b/>
          <w:bCs/>
        </w:rPr>
      </w:pPr>
      <w:r w:rsidRPr="000A5C38">
        <w:rPr>
          <w:b/>
          <w:bCs/>
        </w:rPr>
        <w:t>Section 2. Structure.</w:t>
      </w:r>
    </w:p>
    <w:p w14:paraId="495924AF" w14:textId="77777777" w:rsidR="000A5C38" w:rsidRPr="000A5C38" w:rsidRDefault="000A5C38" w:rsidP="000A5C38">
      <w:pPr>
        <w:spacing w:before="100"/>
      </w:pPr>
      <w:r w:rsidRPr="000A5C38">
        <w:t>The radar chart has 5 spokes radiating from the centre, each representing one of the ASPIRE indicators. The spokes are labelled Contact, Currency, Discoverability, Formats, and Image Descriptions. All axes share the same percentage scale, marked at 25 per cent, 50 per cent, 75 per cent, and 100 per cent from the centre outward.</w:t>
      </w:r>
    </w:p>
    <w:p w14:paraId="7BE134D2" w14:textId="78F41E86" w:rsidR="000A5C38" w:rsidRPr="000A5C38" w:rsidRDefault="000A5C38" w:rsidP="000A5C38">
      <w:pPr>
        <w:spacing w:before="100"/>
      </w:pPr>
      <w:r w:rsidRPr="000A5C38">
        <w:t xml:space="preserve">Two polygons are plotted on the chart. ASPIRE Gold is shown in gold with a </w:t>
      </w:r>
      <w:r w:rsidR="00343699" w:rsidRPr="000A5C38">
        <w:t>light-yellow</w:t>
      </w:r>
      <w:r w:rsidRPr="000A5C38">
        <w:t xml:space="preserve"> fill. All Other Publishers is shown in grey with no fill. A legend below the chart identifies each group.</w:t>
      </w:r>
    </w:p>
    <w:p w14:paraId="09B46809" w14:textId="77777777" w:rsidR="000A5C38" w:rsidRPr="000A5C38" w:rsidRDefault="000A5C38" w:rsidP="000A5C38">
      <w:pPr>
        <w:spacing w:before="100"/>
        <w:rPr>
          <w:b/>
          <w:bCs/>
        </w:rPr>
      </w:pPr>
      <w:r w:rsidRPr="000A5C38">
        <w:rPr>
          <w:b/>
          <w:bCs/>
        </w:rPr>
        <w:t>Section 3. Walkthrough.</w:t>
      </w:r>
    </w:p>
    <w:p w14:paraId="6907CB9A" w14:textId="77777777" w:rsidR="000A5C38" w:rsidRPr="000A5C38" w:rsidRDefault="000A5C38" w:rsidP="000A5C38">
      <w:pPr>
        <w:spacing w:before="100"/>
      </w:pPr>
      <w:r w:rsidRPr="000A5C38">
        <w:t>The two shapes reveal a substantial performance gap across all five indicators.</w:t>
      </w:r>
    </w:p>
    <w:p w14:paraId="6B1AC4D6" w14:textId="77777777" w:rsidR="000A5C38" w:rsidRPr="000A5C38" w:rsidRDefault="000A5C38" w:rsidP="000A5C38">
      <w:pPr>
        <w:spacing w:before="100"/>
      </w:pPr>
      <w:r w:rsidRPr="000A5C38">
        <w:t>The ASPIRE Gold polygon dominates the chart, forming a large, well-balanced shape that extends close to the outer edge on most axes. It achieves 100 per cent on Discoverability, Contact, and Formats. Image Descriptions reaches 83 per cent, and Currency, at 75 per cent, represents the only notable shortfall from perfection.</w:t>
      </w:r>
    </w:p>
    <w:p w14:paraId="7CFE232D" w14:textId="77777777" w:rsidR="000A5C38" w:rsidRPr="000A5C38" w:rsidRDefault="000A5C38" w:rsidP="000A5C38">
      <w:pPr>
        <w:spacing w:before="100"/>
      </w:pPr>
      <w:r w:rsidRPr="000A5C38">
        <w:t>The All Other Publishers polygon is considerably smaller and more irregular. Discoverability is the strongest indicator at 76 per cent, with Contact at 67 per cent. The shape then contracts sharply: Formats falls to 40 per cent, Image Descriptions to 22 per cent, and Currency to just 17 per cent.</w:t>
      </w:r>
    </w:p>
    <w:p w14:paraId="3C9862AB" w14:textId="7BE501E5" w:rsidR="000A5C38" w:rsidRPr="000A5C38" w:rsidRDefault="000A5C38" w:rsidP="000A5C38">
      <w:pPr>
        <w:spacing w:before="100"/>
      </w:pPr>
      <w:r w:rsidRPr="000A5C38">
        <w:t xml:space="preserve">The gap between the two groups is most pronounced on </w:t>
      </w:r>
      <w:r w:rsidR="001873DC">
        <w:t>3</w:t>
      </w:r>
      <w:r w:rsidRPr="000A5C38">
        <w:t xml:space="preserve"> indicators. Formats shows a 60 percentage point difference. Image Descriptions shows a 61 percentage point difference. Currency shows a 58 percentage point difference. Even on the stronger indicators, Discoverability and Contact, the ASPIRE Gold group leads by 24 and 33 percentage points respectively.</w:t>
      </w:r>
    </w:p>
    <w:p w14:paraId="3D0E148F" w14:textId="77777777" w:rsidR="000A5C38" w:rsidRPr="000A5C38" w:rsidRDefault="000A5C38" w:rsidP="000A5C38">
      <w:pPr>
        <w:spacing w:before="100"/>
      </w:pPr>
      <w:r w:rsidRPr="000A5C38">
        <w:t>The consistent outperformance across all five dimensions demonstrates the impact of focused attention on accessibility communication.</w:t>
      </w:r>
    </w:p>
    <w:p w14:paraId="60379501" w14:textId="77777777" w:rsidR="000A5C38" w:rsidRPr="000A5C38" w:rsidRDefault="000A5C38" w:rsidP="000A5C38">
      <w:pPr>
        <w:spacing w:before="100"/>
        <w:rPr>
          <w:b/>
          <w:bCs/>
        </w:rPr>
      </w:pPr>
      <w:r w:rsidRPr="000A5C38">
        <w:rPr>
          <w:b/>
          <w:bCs/>
        </w:rPr>
        <w:t>Section 4. Data.</w:t>
      </w:r>
    </w:p>
    <w:p w14:paraId="4F5C2626" w14:textId="77777777" w:rsidR="000A5C38" w:rsidRPr="000A5C38" w:rsidRDefault="000A5C38" w:rsidP="00620AB5">
      <w:pPr>
        <w:spacing w:after="160"/>
      </w:pPr>
      <w:r w:rsidRPr="000A5C38">
        <w:t>The data are presented in the following table, ordered clockwise from 12 o'clock. A variance column shows the percentage point difference between ASPIRE Gold and All Others.</w:t>
      </w:r>
    </w:p>
    <w:tbl>
      <w:tblPr>
        <w:tblStyle w:val="GridTable1Light"/>
        <w:tblW w:w="5000" w:type="pct"/>
        <w:tblLook w:val="04A0" w:firstRow="1" w:lastRow="0" w:firstColumn="1" w:lastColumn="0" w:noHBand="0" w:noVBand="1"/>
      </w:tblPr>
      <w:tblGrid>
        <w:gridCol w:w="3344"/>
        <w:gridCol w:w="2313"/>
        <w:gridCol w:w="1928"/>
        <w:gridCol w:w="1765"/>
      </w:tblGrid>
      <w:tr w:rsidR="000A5C38" w:rsidRPr="00620AB5" w14:paraId="6DBE21F8" w14:textId="77777777" w:rsidTr="0062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pct"/>
            <w:shd w:val="clear" w:color="auto" w:fill="D9F2D0" w:themeFill="accent6" w:themeFillTint="33"/>
            <w:hideMark/>
          </w:tcPr>
          <w:p w14:paraId="1D305108" w14:textId="77777777" w:rsidR="000A5C38" w:rsidRPr="00620AB5" w:rsidRDefault="000A5C38" w:rsidP="000A5C38">
            <w:pPr>
              <w:spacing w:before="100"/>
              <w:rPr>
                <w:sz w:val="16"/>
                <w:szCs w:val="16"/>
              </w:rPr>
            </w:pPr>
            <w:r w:rsidRPr="00620AB5">
              <w:rPr>
                <w:sz w:val="16"/>
                <w:szCs w:val="16"/>
              </w:rPr>
              <w:t>Indicator</w:t>
            </w:r>
          </w:p>
        </w:tc>
        <w:tc>
          <w:tcPr>
            <w:tcW w:w="1237" w:type="pct"/>
            <w:shd w:val="clear" w:color="auto" w:fill="D9F2D0" w:themeFill="accent6" w:themeFillTint="33"/>
            <w:hideMark/>
          </w:tcPr>
          <w:p w14:paraId="61A14F7C" w14:textId="77777777" w:rsidR="000A5C38" w:rsidRPr="00620AB5" w:rsidRDefault="000A5C38" w:rsidP="000A5C38">
            <w:pPr>
              <w:spacing w:before="100"/>
              <w:cnfStyle w:val="100000000000" w:firstRow="1" w:lastRow="0" w:firstColumn="0" w:lastColumn="0" w:oddVBand="0" w:evenVBand="0" w:oddHBand="0" w:evenHBand="0" w:firstRowFirstColumn="0" w:firstRowLastColumn="0" w:lastRowFirstColumn="0" w:lastRowLastColumn="0"/>
              <w:rPr>
                <w:sz w:val="16"/>
                <w:szCs w:val="16"/>
              </w:rPr>
            </w:pPr>
            <w:r w:rsidRPr="00620AB5">
              <w:rPr>
                <w:sz w:val="16"/>
                <w:szCs w:val="16"/>
              </w:rPr>
              <w:t>ASPIRE Gold</w:t>
            </w:r>
          </w:p>
        </w:tc>
        <w:tc>
          <w:tcPr>
            <w:tcW w:w="1031" w:type="pct"/>
            <w:shd w:val="clear" w:color="auto" w:fill="D9F2D0" w:themeFill="accent6" w:themeFillTint="33"/>
            <w:hideMark/>
          </w:tcPr>
          <w:p w14:paraId="04732F01" w14:textId="77777777" w:rsidR="000A5C38" w:rsidRPr="00620AB5" w:rsidRDefault="000A5C38" w:rsidP="000A5C38">
            <w:pPr>
              <w:spacing w:before="100"/>
              <w:cnfStyle w:val="100000000000" w:firstRow="1" w:lastRow="0" w:firstColumn="0" w:lastColumn="0" w:oddVBand="0" w:evenVBand="0" w:oddHBand="0" w:evenHBand="0" w:firstRowFirstColumn="0" w:firstRowLastColumn="0" w:lastRowFirstColumn="0" w:lastRowLastColumn="0"/>
              <w:rPr>
                <w:sz w:val="16"/>
                <w:szCs w:val="16"/>
              </w:rPr>
            </w:pPr>
            <w:r w:rsidRPr="00620AB5">
              <w:rPr>
                <w:sz w:val="16"/>
                <w:szCs w:val="16"/>
              </w:rPr>
              <w:t>All Others</w:t>
            </w:r>
          </w:p>
        </w:tc>
        <w:tc>
          <w:tcPr>
            <w:tcW w:w="945" w:type="pct"/>
            <w:shd w:val="clear" w:color="auto" w:fill="D9F2D0" w:themeFill="accent6" w:themeFillTint="33"/>
            <w:hideMark/>
          </w:tcPr>
          <w:p w14:paraId="51DEDC81" w14:textId="77777777" w:rsidR="000A5C38" w:rsidRPr="00620AB5" w:rsidRDefault="000A5C38" w:rsidP="000A5C38">
            <w:pPr>
              <w:spacing w:before="100"/>
              <w:cnfStyle w:val="100000000000" w:firstRow="1" w:lastRow="0" w:firstColumn="0" w:lastColumn="0" w:oddVBand="0" w:evenVBand="0" w:oddHBand="0" w:evenHBand="0" w:firstRowFirstColumn="0" w:firstRowLastColumn="0" w:lastRowFirstColumn="0" w:lastRowLastColumn="0"/>
              <w:rPr>
                <w:sz w:val="16"/>
                <w:szCs w:val="16"/>
              </w:rPr>
            </w:pPr>
            <w:r w:rsidRPr="00620AB5">
              <w:rPr>
                <w:sz w:val="16"/>
                <w:szCs w:val="16"/>
              </w:rPr>
              <w:t>Variance</w:t>
            </w:r>
          </w:p>
        </w:tc>
      </w:tr>
      <w:tr w:rsidR="000A5C38" w:rsidRPr="00620AB5" w14:paraId="5E5A87C5" w14:textId="77777777" w:rsidTr="00620AB5">
        <w:tc>
          <w:tcPr>
            <w:cnfStyle w:val="001000000000" w:firstRow="0" w:lastRow="0" w:firstColumn="1" w:lastColumn="0" w:oddVBand="0" w:evenVBand="0" w:oddHBand="0" w:evenHBand="0" w:firstRowFirstColumn="0" w:firstRowLastColumn="0" w:lastRowFirstColumn="0" w:lastRowLastColumn="0"/>
            <w:tcW w:w="1788" w:type="pct"/>
            <w:hideMark/>
          </w:tcPr>
          <w:p w14:paraId="322A1085" w14:textId="77777777" w:rsidR="000A5C38" w:rsidRPr="00620AB5" w:rsidRDefault="000A5C38" w:rsidP="000A5C38">
            <w:pPr>
              <w:spacing w:before="100"/>
              <w:rPr>
                <w:sz w:val="16"/>
                <w:szCs w:val="16"/>
              </w:rPr>
            </w:pPr>
            <w:r w:rsidRPr="00620AB5">
              <w:rPr>
                <w:sz w:val="16"/>
                <w:szCs w:val="16"/>
              </w:rPr>
              <w:t>Discoverability</w:t>
            </w:r>
          </w:p>
        </w:tc>
        <w:tc>
          <w:tcPr>
            <w:tcW w:w="1237" w:type="pct"/>
            <w:hideMark/>
          </w:tcPr>
          <w:p w14:paraId="12C887AD"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100%</w:t>
            </w:r>
          </w:p>
        </w:tc>
        <w:tc>
          <w:tcPr>
            <w:tcW w:w="1031" w:type="pct"/>
            <w:hideMark/>
          </w:tcPr>
          <w:p w14:paraId="3209A4A8"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76%</w:t>
            </w:r>
          </w:p>
        </w:tc>
        <w:tc>
          <w:tcPr>
            <w:tcW w:w="945" w:type="pct"/>
            <w:hideMark/>
          </w:tcPr>
          <w:p w14:paraId="36FE8C56"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+24</w:t>
            </w:r>
          </w:p>
        </w:tc>
      </w:tr>
      <w:tr w:rsidR="000A5C38" w:rsidRPr="00620AB5" w14:paraId="4CA999EE" w14:textId="77777777" w:rsidTr="00620AB5">
        <w:tc>
          <w:tcPr>
            <w:cnfStyle w:val="001000000000" w:firstRow="0" w:lastRow="0" w:firstColumn="1" w:lastColumn="0" w:oddVBand="0" w:evenVBand="0" w:oddHBand="0" w:evenHBand="0" w:firstRowFirstColumn="0" w:firstRowLastColumn="0" w:lastRowFirstColumn="0" w:lastRowLastColumn="0"/>
            <w:tcW w:w="1788" w:type="pct"/>
            <w:hideMark/>
          </w:tcPr>
          <w:p w14:paraId="52178A2D" w14:textId="77777777" w:rsidR="000A5C38" w:rsidRPr="00620AB5" w:rsidRDefault="000A5C38" w:rsidP="000A5C38">
            <w:pPr>
              <w:spacing w:before="100"/>
              <w:rPr>
                <w:sz w:val="16"/>
                <w:szCs w:val="16"/>
              </w:rPr>
            </w:pPr>
            <w:r w:rsidRPr="00620AB5">
              <w:rPr>
                <w:sz w:val="16"/>
                <w:szCs w:val="16"/>
              </w:rPr>
              <w:t>Currency</w:t>
            </w:r>
          </w:p>
        </w:tc>
        <w:tc>
          <w:tcPr>
            <w:tcW w:w="1237" w:type="pct"/>
            <w:hideMark/>
          </w:tcPr>
          <w:p w14:paraId="6C1CB29E"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75%</w:t>
            </w:r>
          </w:p>
        </w:tc>
        <w:tc>
          <w:tcPr>
            <w:tcW w:w="1031" w:type="pct"/>
            <w:hideMark/>
          </w:tcPr>
          <w:p w14:paraId="23FD422C"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17%</w:t>
            </w:r>
          </w:p>
        </w:tc>
        <w:tc>
          <w:tcPr>
            <w:tcW w:w="945" w:type="pct"/>
            <w:hideMark/>
          </w:tcPr>
          <w:p w14:paraId="45E065AE"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+58</w:t>
            </w:r>
          </w:p>
        </w:tc>
      </w:tr>
      <w:tr w:rsidR="000A5C38" w:rsidRPr="00620AB5" w14:paraId="12527330" w14:textId="77777777" w:rsidTr="00620AB5">
        <w:tc>
          <w:tcPr>
            <w:cnfStyle w:val="001000000000" w:firstRow="0" w:lastRow="0" w:firstColumn="1" w:lastColumn="0" w:oddVBand="0" w:evenVBand="0" w:oddHBand="0" w:evenHBand="0" w:firstRowFirstColumn="0" w:firstRowLastColumn="0" w:lastRowFirstColumn="0" w:lastRowLastColumn="0"/>
            <w:tcW w:w="1788" w:type="pct"/>
            <w:hideMark/>
          </w:tcPr>
          <w:p w14:paraId="21831182" w14:textId="77777777" w:rsidR="000A5C38" w:rsidRPr="00620AB5" w:rsidRDefault="000A5C38" w:rsidP="000A5C38">
            <w:pPr>
              <w:spacing w:before="100"/>
              <w:rPr>
                <w:sz w:val="16"/>
                <w:szCs w:val="16"/>
              </w:rPr>
            </w:pPr>
            <w:r w:rsidRPr="00620AB5">
              <w:rPr>
                <w:sz w:val="16"/>
                <w:szCs w:val="16"/>
              </w:rPr>
              <w:lastRenderedPageBreak/>
              <w:t>Contact</w:t>
            </w:r>
          </w:p>
        </w:tc>
        <w:tc>
          <w:tcPr>
            <w:tcW w:w="1237" w:type="pct"/>
            <w:hideMark/>
          </w:tcPr>
          <w:p w14:paraId="3C437E18"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100%</w:t>
            </w:r>
          </w:p>
        </w:tc>
        <w:tc>
          <w:tcPr>
            <w:tcW w:w="1031" w:type="pct"/>
            <w:hideMark/>
          </w:tcPr>
          <w:p w14:paraId="04493EB5"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67%</w:t>
            </w:r>
          </w:p>
        </w:tc>
        <w:tc>
          <w:tcPr>
            <w:tcW w:w="945" w:type="pct"/>
            <w:hideMark/>
          </w:tcPr>
          <w:p w14:paraId="08F74D05"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+33</w:t>
            </w:r>
          </w:p>
        </w:tc>
      </w:tr>
      <w:tr w:rsidR="000A5C38" w:rsidRPr="00620AB5" w14:paraId="07FC3E0A" w14:textId="77777777" w:rsidTr="00620AB5">
        <w:tc>
          <w:tcPr>
            <w:cnfStyle w:val="001000000000" w:firstRow="0" w:lastRow="0" w:firstColumn="1" w:lastColumn="0" w:oddVBand="0" w:evenVBand="0" w:oddHBand="0" w:evenHBand="0" w:firstRowFirstColumn="0" w:firstRowLastColumn="0" w:lastRowFirstColumn="0" w:lastRowLastColumn="0"/>
            <w:tcW w:w="1788" w:type="pct"/>
            <w:hideMark/>
          </w:tcPr>
          <w:p w14:paraId="0019BF06" w14:textId="77777777" w:rsidR="000A5C38" w:rsidRPr="00620AB5" w:rsidRDefault="000A5C38" w:rsidP="000A5C38">
            <w:pPr>
              <w:spacing w:before="100"/>
              <w:rPr>
                <w:sz w:val="16"/>
                <w:szCs w:val="16"/>
              </w:rPr>
            </w:pPr>
            <w:r w:rsidRPr="00620AB5">
              <w:rPr>
                <w:sz w:val="16"/>
                <w:szCs w:val="16"/>
              </w:rPr>
              <w:t>Formats</w:t>
            </w:r>
          </w:p>
        </w:tc>
        <w:tc>
          <w:tcPr>
            <w:tcW w:w="1237" w:type="pct"/>
            <w:hideMark/>
          </w:tcPr>
          <w:p w14:paraId="76C200B3"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100%</w:t>
            </w:r>
          </w:p>
        </w:tc>
        <w:tc>
          <w:tcPr>
            <w:tcW w:w="1031" w:type="pct"/>
            <w:hideMark/>
          </w:tcPr>
          <w:p w14:paraId="0BA1C3B9"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40%</w:t>
            </w:r>
          </w:p>
        </w:tc>
        <w:tc>
          <w:tcPr>
            <w:tcW w:w="945" w:type="pct"/>
            <w:hideMark/>
          </w:tcPr>
          <w:p w14:paraId="57DE58A9"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+60</w:t>
            </w:r>
          </w:p>
        </w:tc>
      </w:tr>
      <w:tr w:rsidR="000A5C38" w:rsidRPr="00620AB5" w14:paraId="1422FF96" w14:textId="77777777" w:rsidTr="00620AB5">
        <w:tc>
          <w:tcPr>
            <w:cnfStyle w:val="001000000000" w:firstRow="0" w:lastRow="0" w:firstColumn="1" w:lastColumn="0" w:oddVBand="0" w:evenVBand="0" w:oddHBand="0" w:evenHBand="0" w:firstRowFirstColumn="0" w:firstRowLastColumn="0" w:lastRowFirstColumn="0" w:lastRowLastColumn="0"/>
            <w:tcW w:w="1788" w:type="pct"/>
            <w:hideMark/>
          </w:tcPr>
          <w:p w14:paraId="72E4B5A9" w14:textId="77777777" w:rsidR="000A5C38" w:rsidRPr="00620AB5" w:rsidRDefault="000A5C38" w:rsidP="000A5C38">
            <w:pPr>
              <w:spacing w:before="100"/>
              <w:rPr>
                <w:sz w:val="16"/>
                <w:szCs w:val="16"/>
              </w:rPr>
            </w:pPr>
            <w:r w:rsidRPr="00620AB5">
              <w:rPr>
                <w:sz w:val="16"/>
                <w:szCs w:val="16"/>
              </w:rPr>
              <w:t>Image Descriptions</w:t>
            </w:r>
          </w:p>
        </w:tc>
        <w:tc>
          <w:tcPr>
            <w:tcW w:w="1237" w:type="pct"/>
            <w:hideMark/>
          </w:tcPr>
          <w:p w14:paraId="4B19FECB"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83%</w:t>
            </w:r>
          </w:p>
        </w:tc>
        <w:tc>
          <w:tcPr>
            <w:tcW w:w="1031" w:type="pct"/>
            <w:hideMark/>
          </w:tcPr>
          <w:p w14:paraId="3F5088E3"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22%</w:t>
            </w:r>
          </w:p>
        </w:tc>
        <w:tc>
          <w:tcPr>
            <w:tcW w:w="945" w:type="pct"/>
            <w:hideMark/>
          </w:tcPr>
          <w:p w14:paraId="0FA04FD3" w14:textId="77777777" w:rsidR="000A5C38" w:rsidRPr="00620AB5" w:rsidRDefault="000A5C38" w:rsidP="000A5C38">
            <w:pPr>
              <w:spacing w:before="100"/>
              <w:cnfStyle w:val="000000000000" w:firstRow="0" w:lastRow="0" w:firstColumn="0" w:lastColumn="0" w:oddVBand="0" w:evenVBand="0" w:oddHBand="0" w:evenHBand="0" w:firstRowFirstColumn="0" w:firstRowLastColumn="0" w:lastRowFirstColumn="0" w:lastRowLastColumn="0"/>
              <w:rPr>
                <w:sz w:val="16"/>
                <w:szCs w:val="16"/>
              </w:rPr>
            </w:pPr>
            <w:r w:rsidRPr="00620AB5">
              <w:rPr>
                <w:sz w:val="16"/>
                <w:szCs w:val="16"/>
              </w:rPr>
              <w:t>+61</w:t>
            </w:r>
          </w:p>
        </w:tc>
      </w:tr>
    </w:tbl>
    <w:p w14:paraId="6CF4CC2C" w14:textId="77777777" w:rsidR="00620AB5" w:rsidRDefault="00620AB5" w:rsidP="00620AB5"/>
    <w:p w14:paraId="1DB3DE3C" w14:textId="4F683CE4" w:rsidR="000A5C38" w:rsidRDefault="000A5C38" w:rsidP="00620AB5">
      <w:r w:rsidRPr="000A5C38">
        <w:t>Description ends.</w:t>
      </w:r>
    </w:p>
    <w:p w14:paraId="15BB6F3D" w14:textId="77777777" w:rsidR="00C440C0" w:rsidRDefault="00C440C0" w:rsidP="00620AB5"/>
    <w:p w14:paraId="713E2AD8" w14:textId="77777777" w:rsidR="00C440C0" w:rsidRPr="000A5C38" w:rsidRDefault="00C440C0" w:rsidP="00620AB5"/>
    <w:p w14:paraId="186154E1" w14:textId="67A26763" w:rsidR="000A5C38" w:rsidRPr="000A5C38" w:rsidRDefault="000A5C38" w:rsidP="000A5C38">
      <w:pPr>
        <w:spacing w:before="100"/>
      </w:pPr>
    </w:p>
    <w:p w14:paraId="31D8736F" w14:textId="77777777" w:rsidR="00B17E3B" w:rsidRDefault="00B17E3B">
      <w:pPr>
        <w:rPr>
          <w:i/>
          <w:iCs/>
          <w:color w:val="0F614F"/>
        </w:rPr>
      </w:pPr>
      <w:r>
        <w:br w:type="page"/>
      </w:r>
    </w:p>
    <w:p w14:paraId="6901EE3D" w14:textId="5C653614" w:rsidR="000A5C38" w:rsidRPr="000A5C38" w:rsidRDefault="000A5C38" w:rsidP="00C440C0">
      <w:pPr>
        <w:pStyle w:val="Heading4"/>
      </w:pPr>
      <w:r w:rsidRPr="000A5C38">
        <w:lastRenderedPageBreak/>
        <w:t>Figure 3: From Certification to Communication: Where Publishers Land</w:t>
      </w:r>
    </w:p>
    <w:p w14:paraId="0A1D8456" w14:textId="77777777" w:rsidR="000A5C38" w:rsidRPr="00C440C0" w:rsidRDefault="000A5C38" w:rsidP="000A5C38">
      <w:pPr>
        <w:spacing w:before="100"/>
        <w:rPr>
          <w:b/>
          <w:bCs/>
          <w:color w:val="0F614F"/>
        </w:rPr>
      </w:pPr>
      <w:r w:rsidRPr="00C440C0">
        <w:rPr>
          <w:b/>
          <w:bCs/>
          <w:color w:val="0F614F"/>
        </w:rPr>
        <w:t>ALT TEXT</w:t>
      </w:r>
    </w:p>
    <w:p w14:paraId="296A997B" w14:textId="74C0F028" w:rsidR="000A5C38" w:rsidRDefault="000A5C38" w:rsidP="000A5C38">
      <w:pPr>
        <w:spacing w:before="100"/>
      </w:pPr>
      <w:r w:rsidRPr="000A5C38">
        <w:t xml:space="preserve">A Sankey diagram </w:t>
      </w:r>
      <w:r w:rsidR="00C440C0">
        <w:t>illustrates</w:t>
      </w:r>
      <w:r w:rsidRPr="000A5C38">
        <w:t xml:space="preserve"> how publishers flow from their certification and membership status to their survey score bands.</w:t>
      </w:r>
    </w:p>
    <w:p w14:paraId="65497F2D" w14:textId="77777777" w:rsidR="00C440C0" w:rsidRPr="000A5C38" w:rsidRDefault="00C440C0" w:rsidP="000A5C38">
      <w:pPr>
        <w:spacing w:before="100"/>
      </w:pPr>
    </w:p>
    <w:p w14:paraId="798ECD09" w14:textId="77777777" w:rsidR="000A5C38" w:rsidRPr="00C440C0" w:rsidRDefault="000A5C38" w:rsidP="000A5C38">
      <w:pPr>
        <w:spacing w:before="100"/>
        <w:rPr>
          <w:b/>
          <w:bCs/>
          <w:color w:val="0F614F"/>
        </w:rPr>
      </w:pPr>
      <w:r w:rsidRPr="00C440C0">
        <w:rPr>
          <w:b/>
          <w:bCs/>
          <w:color w:val="0F614F"/>
        </w:rPr>
        <w:t>LONG DESCRIPTION</w:t>
      </w:r>
    </w:p>
    <w:p w14:paraId="765CCBCD" w14:textId="77777777" w:rsidR="000A5C38" w:rsidRPr="000A5C38" w:rsidRDefault="000A5C38" w:rsidP="000A5C38">
      <w:pPr>
        <w:spacing w:before="100"/>
      </w:pPr>
      <w:r w:rsidRPr="000A5C38">
        <w:t>The description of the Sankey diagram is presented in 3 main sections as follows.</w:t>
      </w:r>
    </w:p>
    <w:p w14:paraId="61036949" w14:textId="77777777" w:rsidR="000A5C38" w:rsidRPr="000A5C38" w:rsidRDefault="000A5C38" w:rsidP="000A5C38">
      <w:pPr>
        <w:spacing w:before="100"/>
        <w:rPr>
          <w:b/>
          <w:bCs/>
        </w:rPr>
      </w:pPr>
      <w:r w:rsidRPr="000A5C38">
        <w:rPr>
          <w:b/>
          <w:bCs/>
        </w:rPr>
        <w:t>Section 1. Context.</w:t>
      </w:r>
    </w:p>
    <w:p w14:paraId="5AEB126C" w14:textId="361F94B0" w:rsidR="000A5C38" w:rsidRPr="000A5C38" w:rsidRDefault="000A5C38" w:rsidP="000A5C38">
      <w:pPr>
        <w:spacing w:before="100"/>
      </w:pPr>
      <w:r w:rsidRPr="000A5C38">
        <w:t>Th</w:t>
      </w:r>
      <w:r w:rsidR="008D3A52">
        <w:t>e</w:t>
      </w:r>
      <w:r w:rsidRPr="000A5C38">
        <w:t xml:space="preserve"> diagram illustrates the relationship between publisher credentials and communication outcomes in the ASPIRE survey. It traces 25 publishers from their starting position, defined by their ASPIRE, PAAG, and GCA status, to their final score band. The visualisation reveals which credentials correlate with strong accessibility communication and which do not.</w:t>
      </w:r>
    </w:p>
    <w:p w14:paraId="072EB193" w14:textId="77777777" w:rsidR="000A5C38" w:rsidRPr="000A5C38" w:rsidRDefault="000A5C38" w:rsidP="000A5C38">
      <w:pPr>
        <w:spacing w:before="100"/>
        <w:rPr>
          <w:b/>
          <w:bCs/>
        </w:rPr>
      </w:pPr>
      <w:r w:rsidRPr="000A5C38">
        <w:rPr>
          <w:b/>
          <w:bCs/>
        </w:rPr>
        <w:t>Section 2. Structure.</w:t>
      </w:r>
    </w:p>
    <w:p w14:paraId="255EFCF1" w14:textId="77777777" w:rsidR="000A5C38" w:rsidRPr="000A5C38" w:rsidRDefault="000A5C38" w:rsidP="000A5C38">
      <w:pPr>
        <w:spacing w:before="100"/>
      </w:pPr>
      <w:r w:rsidRPr="000A5C38">
        <w:t>A Sankey diagram displays quantitative flows between two or more parallel sets of categories. Categories are displayed as stacked bars or nodes, with curved bands connecting them. The thickness of each band is proportional to the quantity flowing between categories.</w:t>
      </w:r>
    </w:p>
    <w:p w14:paraId="481A674B" w14:textId="77777777" w:rsidR="000A5C38" w:rsidRPr="000A5C38" w:rsidRDefault="000A5C38" w:rsidP="000A5C38">
      <w:pPr>
        <w:spacing w:before="100"/>
      </w:pPr>
      <w:r w:rsidRPr="000A5C38">
        <w:t>The diagram flows from left to right. On the left side are 5 source categories representing certification and membership status: ASPIRE Gold with 4 publishers, shown in gold; PAAG only with 6 publishers, shown in blue; PAAG plus GCA with 4 publishers, shown in green; GCA only with 4 publishers, shown in orange; and Neither PAAG or GCA with 7 publishers, shown in grey.</w:t>
      </w:r>
    </w:p>
    <w:p w14:paraId="37F9757F" w14:textId="77777777" w:rsidR="000A5C38" w:rsidRPr="000A5C38" w:rsidRDefault="000A5C38" w:rsidP="000A5C38">
      <w:pPr>
        <w:spacing w:before="100"/>
      </w:pPr>
      <w:r w:rsidRPr="000A5C38">
        <w:t>On the right side are 5 destination categories representing survey score bands: Excellent with 6 publishers; Good with 1 publisher; Moderate with 4 publishers; Limited with 7 publishers; and Poor with 7 publishers.</w:t>
      </w:r>
    </w:p>
    <w:p w14:paraId="781D6D63" w14:textId="77777777" w:rsidR="000A5C38" w:rsidRPr="000A5C38" w:rsidRDefault="000A5C38" w:rsidP="000A5C38">
      <w:pPr>
        <w:spacing w:before="100"/>
      </w:pPr>
      <w:r w:rsidRPr="000A5C38">
        <w:t>Curved bands connect each source to its destinations, with band thickness proportional to the number of publishers in each flow.</w:t>
      </w:r>
    </w:p>
    <w:p w14:paraId="1BFA7085" w14:textId="77777777" w:rsidR="000A5C38" w:rsidRPr="000A5C38" w:rsidRDefault="000A5C38" w:rsidP="000A5C38">
      <w:pPr>
        <w:spacing w:before="100"/>
        <w:rPr>
          <w:b/>
          <w:bCs/>
        </w:rPr>
      </w:pPr>
      <w:r w:rsidRPr="000A5C38">
        <w:rPr>
          <w:b/>
          <w:bCs/>
        </w:rPr>
        <w:t>Section 3. Walkthrough.</w:t>
      </w:r>
    </w:p>
    <w:p w14:paraId="4E3FFB4A" w14:textId="77777777" w:rsidR="007D694E" w:rsidRPr="000A5C38" w:rsidRDefault="007D694E" w:rsidP="007D694E">
      <w:pPr>
        <w:spacing w:before="100"/>
      </w:pPr>
      <w:r w:rsidRPr="000A5C38">
        <w:rPr>
          <w:b/>
          <w:bCs/>
        </w:rPr>
        <w:t>Key patterns.</w:t>
      </w:r>
    </w:p>
    <w:p w14:paraId="0798147D" w14:textId="6D47C85F" w:rsidR="007D694E" w:rsidRPr="000A5C38" w:rsidRDefault="007D694E" w:rsidP="007D694E">
      <w:pPr>
        <w:spacing w:before="100"/>
      </w:pPr>
      <w:r w:rsidRPr="000A5C38">
        <w:t xml:space="preserve">The diagram reveals </w:t>
      </w:r>
      <w:r>
        <w:t>3</w:t>
      </w:r>
      <w:r w:rsidRPr="000A5C38">
        <w:t xml:space="preserve"> striking findings. First, ASPIRE Gold is the only credential that guarantees a path to the top tiers; all four publishers reach Excellent or Good. Second, GCA certification alone shows no path to Excellent or Good; certified production capability does not translate to communication quality. Third, PAAG membership correlates with reaching Excellent, but does not guarantee it; PAAG members appear across all score bands except Poor.</w:t>
      </w:r>
    </w:p>
    <w:p w14:paraId="71BB540A" w14:textId="0B46AB6A" w:rsidR="000A5C38" w:rsidRPr="000A5C38" w:rsidRDefault="000A5C38" w:rsidP="000A5C38">
      <w:pPr>
        <w:spacing w:before="100"/>
      </w:pPr>
      <w:r w:rsidRPr="000A5C38">
        <w:t xml:space="preserve">Due to the complexity of this diagram, the data are presented in </w:t>
      </w:r>
      <w:r w:rsidR="004B447F">
        <w:t>2</w:t>
      </w:r>
      <w:r w:rsidRPr="000A5C38">
        <w:t xml:space="preserve"> levels of analysis: first, a summary of flows by source category, and second, the full flow matrix showing every source-destination pair.</w:t>
      </w:r>
    </w:p>
    <w:p w14:paraId="3A93E68A" w14:textId="77777777" w:rsidR="000A5C38" w:rsidRPr="000A5C38" w:rsidRDefault="000A5C38" w:rsidP="000A5C38">
      <w:pPr>
        <w:spacing w:before="100"/>
      </w:pPr>
      <w:r w:rsidRPr="000A5C38">
        <w:rPr>
          <w:b/>
          <w:bCs/>
        </w:rPr>
        <w:t>Summary by source category.</w:t>
      </w:r>
    </w:p>
    <w:p w14:paraId="57000CFB" w14:textId="77777777" w:rsidR="000A5C38" w:rsidRPr="000A5C38" w:rsidRDefault="000A5C38" w:rsidP="004B447F">
      <w:pPr>
        <w:pStyle w:val="ListParagraph"/>
        <w:numPr>
          <w:ilvl w:val="0"/>
          <w:numId w:val="12"/>
        </w:numPr>
        <w:spacing w:before="100"/>
      </w:pPr>
      <w:r w:rsidRPr="000A5C38">
        <w:t>ASPIRE Gold publishers flow exclusively to the top two score bands. Three reach Excellent and one reaches Good. None fall below Good.</w:t>
      </w:r>
    </w:p>
    <w:p w14:paraId="37FED2A6" w14:textId="77777777" w:rsidR="000A5C38" w:rsidRPr="000A5C38" w:rsidRDefault="000A5C38" w:rsidP="004B447F">
      <w:pPr>
        <w:pStyle w:val="ListParagraph"/>
        <w:numPr>
          <w:ilvl w:val="0"/>
          <w:numId w:val="12"/>
        </w:numPr>
        <w:spacing w:before="100"/>
      </w:pPr>
      <w:r w:rsidRPr="000A5C38">
        <w:t>PAAG only publishers show mixed outcomes. Two reach Excellent, one lands in Moderate, and three fall to Limited.</w:t>
      </w:r>
    </w:p>
    <w:p w14:paraId="45E3FF80" w14:textId="77777777" w:rsidR="000A5C38" w:rsidRPr="000A5C38" w:rsidRDefault="000A5C38" w:rsidP="004B447F">
      <w:pPr>
        <w:pStyle w:val="ListParagraph"/>
        <w:numPr>
          <w:ilvl w:val="0"/>
          <w:numId w:val="12"/>
        </w:numPr>
        <w:spacing w:before="100"/>
      </w:pPr>
      <w:r w:rsidRPr="000A5C38">
        <w:lastRenderedPageBreak/>
        <w:t>PAAG plus GCA publishers divide sharply. One reaches Excellent, but three fall directly to Limited, with nothing in between.</w:t>
      </w:r>
    </w:p>
    <w:p w14:paraId="56CD9921" w14:textId="77777777" w:rsidR="000A5C38" w:rsidRPr="000A5C38" w:rsidRDefault="000A5C38" w:rsidP="004B447F">
      <w:pPr>
        <w:pStyle w:val="ListParagraph"/>
        <w:numPr>
          <w:ilvl w:val="0"/>
          <w:numId w:val="12"/>
        </w:numPr>
        <w:spacing w:before="100"/>
      </w:pPr>
      <w:r w:rsidRPr="000A5C38">
        <w:t>GCA only publishers flow entirely to the lower bands. One reaches Moderate, one lands in Limited, and two fall to Poor. None reach Excellent or Good.</w:t>
      </w:r>
    </w:p>
    <w:p w14:paraId="287879B5" w14:textId="77777777" w:rsidR="000A5C38" w:rsidRPr="000A5C38" w:rsidRDefault="000A5C38" w:rsidP="004B447F">
      <w:pPr>
        <w:pStyle w:val="ListParagraph"/>
        <w:numPr>
          <w:ilvl w:val="0"/>
          <w:numId w:val="12"/>
        </w:numPr>
        <w:spacing w:before="100"/>
      </w:pPr>
      <w:r w:rsidRPr="000A5C38">
        <w:t>Neither PAAG or GCA publishers cluster at the bottom. Two reach Moderate, but five flow to Poor.</w:t>
      </w:r>
    </w:p>
    <w:p w14:paraId="30E1CBC1" w14:textId="77777777" w:rsidR="000A5C38" w:rsidRPr="000A5C38" w:rsidRDefault="000A5C38" w:rsidP="000A5C38">
      <w:pPr>
        <w:spacing w:before="100"/>
      </w:pPr>
      <w:r w:rsidRPr="000A5C38">
        <w:rPr>
          <w:b/>
          <w:bCs/>
        </w:rPr>
        <w:t>Full flow matrix.</w:t>
      </w:r>
    </w:p>
    <w:p w14:paraId="61526B07" w14:textId="77777777" w:rsidR="000A5C38" w:rsidRPr="000A5C38" w:rsidRDefault="000A5C38" w:rsidP="000A5C38">
      <w:pPr>
        <w:spacing w:before="100"/>
      </w:pPr>
      <w:r w:rsidRPr="000A5C38">
        <w:t>The following tables present the complete flows from each source category.</w:t>
      </w:r>
    </w:p>
    <w:p w14:paraId="31E0C30F" w14:textId="77777777" w:rsidR="000A5C38" w:rsidRPr="000A5C38" w:rsidRDefault="000A5C38" w:rsidP="000A5C38">
      <w:pPr>
        <w:spacing w:before="100"/>
      </w:pPr>
      <w:r w:rsidRPr="000A5C38">
        <w:rPr>
          <w:i/>
          <w:iCs/>
        </w:rPr>
        <w:t>ASPIRE Gold to score bands (4 publishers):</w:t>
      </w:r>
    </w:p>
    <w:tbl>
      <w:tblPr>
        <w:tblStyle w:val="GridTable1Light"/>
        <w:tblW w:w="5000" w:type="pct"/>
        <w:tblLook w:val="04A0" w:firstRow="1" w:lastRow="0" w:firstColumn="1" w:lastColumn="0" w:noHBand="0" w:noVBand="1"/>
      </w:tblPr>
      <w:tblGrid>
        <w:gridCol w:w="5840"/>
        <w:gridCol w:w="3510"/>
      </w:tblGrid>
      <w:tr w:rsidR="000A5C38" w:rsidRPr="00B17E3B" w14:paraId="4B4DF03A" w14:textId="77777777" w:rsidTr="00E70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3" w:type="pct"/>
            <w:shd w:val="clear" w:color="auto" w:fill="D9F2D0" w:themeFill="accent6" w:themeFillTint="33"/>
            <w:hideMark/>
          </w:tcPr>
          <w:p w14:paraId="16A7F649" w14:textId="77777777" w:rsidR="000A5C38" w:rsidRPr="00B17E3B" w:rsidRDefault="000A5C38" w:rsidP="000A5C38">
            <w:pPr>
              <w:spacing w:before="100"/>
              <w:rPr>
                <w:sz w:val="16"/>
                <w:szCs w:val="16"/>
              </w:rPr>
            </w:pPr>
            <w:r w:rsidRPr="00B17E3B">
              <w:rPr>
                <w:sz w:val="16"/>
                <w:szCs w:val="16"/>
              </w:rPr>
              <w:t>Destination</w:t>
            </w:r>
          </w:p>
        </w:tc>
        <w:tc>
          <w:tcPr>
            <w:tcW w:w="1877" w:type="pct"/>
            <w:shd w:val="clear" w:color="auto" w:fill="D9F2D0" w:themeFill="accent6" w:themeFillTint="33"/>
            <w:hideMark/>
          </w:tcPr>
          <w:p w14:paraId="44A00E35" w14:textId="77777777" w:rsidR="000A5C38" w:rsidRPr="00B17E3B" w:rsidRDefault="000A5C38" w:rsidP="000A132F">
            <w:pPr>
              <w:spacing w:before="100"/>
              <w:jc w:val="center"/>
              <w:cnfStyle w:val="100000000000" w:firstRow="1" w:lastRow="0" w:firstColumn="0" w:lastColumn="0" w:oddVBand="0" w:evenVBand="0" w:oddHBand="0" w:evenHBand="0" w:firstRowFirstColumn="0" w:firstRowLastColumn="0" w:lastRowFirstColumn="0" w:lastRowLastColumn="0"/>
              <w:rPr>
                <w:sz w:val="16"/>
                <w:szCs w:val="16"/>
              </w:rPr>
            </w:pPr>
            <w:r w:rsidRPr="00B17E3B">
              <w:rPr>
                <w:sz w:val="16"/>
                <w:szCs w:val="16"/>
              </w:rPr>
              <w:t>Count</w:t>
            </w:r>
          </w:p>
        </w:tc>
      </w:tr>
      <w:tr w:rsidR="000A5C38" w:rsidRPr="00B17E3B" w14:paraId="678CAA07"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0805CD45" w14:textId="77777777" w:rsidR="000A5C38" w:rsidRPr="00B17E3B" w:rsidRDefault="000A5C38" w:rsidP="000A5C38">
            <w:pPr>
              <w:spacing w:before="100"/>
              <w:rPr>
                <w:sz w:val="16"/>
                <w:szCs w:val="16"/>
              </w:rPr>
            </w:pPr>
            <w:r w:rsidRPr="00B17E3B">
              <w:rPr>
                <w:sz w:val="16"/>
                <w:szCs w:val="16"/>
              </w:rPr>
              <w:t>Excellent</w:t>
            </w:r>
          </w:p>
        </w:tc>
        <w:tc>
          <w:tcPr>
            <w:tcW w:w="1877" w:type="pct"/>
            <w:hideMark/>
          </w:tcPr>
          <w:p w14:paraId="61A08EA1"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3</w:t>
            </w:r>
          </w:p>
        </w:tc>
      </w:tr>
      <w:tr w:rsidR="000A5C38" w:rsidRPr="00B17E3B" w14:paraId="7D2922C9"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1A63ABD5" w14:textId="77777777" w:rsidR="000A5C38" w:rsidRPr="00B17E3B" w:rsidRDefault="000A5C38" w:rsidP="000A5C38">
            <w:pPr>
              <w:spacing w:before="100"/>
              <w:rPr>
                <w:sz w:val="16"/>
                <w:szCs w:val="16"/>
              </w:rPr>
            </w:pPr>
            <w:r w:rsidRPr="00B17E3B">
              <w:rPr>
                <w:sz w:val="16"/>
                <w:szCs w:val="16"/>
              </w:rPr>
              <w:t>Good</w:t>
            </w:r>
          </w:p>
        </w:tc>
        <w:tc>
          <w:tcPr>
            <w:tcW w:w="1877" w:type="pct"/>
            <w:hideMark/>
          </w:tcPr>
          <w:p w14:paraId="7CC3C352"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1</w:t>
            </w:r>
          </w:p>
        </w:tc>
      </w:tr>
    </w:tbl>
    <w:p w14:paraId="29EC979C" w14:textId="77777777" w:rsidR="000A132F" w:rsidRDefault="000A132F" w:rsidP="000A5C38">
      <w:pPr>
        <w:spacing w:before="100"/>
        <w:rPr>
          <w:i/>
          <w:iCs/>
        </w:rPr>
      </w:pPr>
    </w:p>
    <w:p w14:paraId="2E287EEB" w14:textId="18A91739" w:rsidR="000A5C38" w:rsidRPr="000A5C38" w:rsidRDefault="000A5C38" w:rsidP="000A5C38">
      <w:pPr>
        <w:spacing w:before="100"/>
      </w:pPr>
      <w:r w:rsidRPr="000A5C38">
        <w:rPr>
          <w:i/>
          <w:iCs/>
        </w:rPr>
        <w:t>PAAG only to score bands (6 publishers):</w:t>
      </w:r>
    </w:p>
    <w:tbl>
      <w:tblPr>
        <w:tblStyle w:val="GridTable1Light"/>
        <w:tblW w:w="5000" w:type="pct"/>
        <w:tblLook w:val="04A0" w:firstRow="1" w:lastRow="0" w:firstColumn="1" w:lastColumn="0" w:noHBand="0" w:noVBand="1"/>
      </w:tblPr>
      <w:tblGrid>
        <w:gridCol w:w="5840"/>
        <w:gridCol w:w="3510"/>
      </w:tblGrid>
      <w:tr w:rsidR="000A5C38" w:rsidRPr="00B17E3B" w14:paraId="5A955B03" w14:textId="77777777" w:rsidTr="00E70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3" w:type="pct"/>
            <w:shd w:val="clear" w:color="auto" w:fill="D9F2D0" w:themeFill="accent6" w:themeFillTint="33"/>
            <w:hideMark/>
          </w:tcPr>
          <w:p w14:paraId="6299C7A0" w14:textId="77777777" w:rsidR="000A5C38" w:rsidRPr="00B17E3B" w:rsidRDefault="000A5C38" w:rsidP="000A5C38">
            <w:pPr>
              <w:spacing w:before="100"/>
              <w:rPr>
                <w:sz w:val="16"/>
                <w:szCs w:val="16"/>
              </w:rPr>
            </w:pPr>
            <w:r w:rsidRPr="00B17E3B">
              <w:rPr>
                <w:sz w:val="16"/>
                <w:szCs w:val="16"/>
              </w:rPr>
              <w:t>Destination</w:t>
            </w:r>
          </w:p>
        </w:tc>
        <w:tc>
          <w:tcPr>
            <w:tcW w:w="1877" w:type="pct"/>
            <w:shd w:val="clear" w:color="auto" w:fill="D9F2D0" w:themeFill="accent6" w:themeFillTint="33"/>
            <w:hideMark/>
          </w:tcPr>
          <w:p w14:paraId="408C1F30" w14:textId="77777777" w:rsidR="000A5C38" w:rsidRPr="00B17E3B" w:rsidRDefault="000A5C38" w:rsidP="000A132F">
            <w:pPr>
              <w:spacing w:before="100"/>
              <w:jc w:val="center"/>
              <w:cnfStyle w:val="100000000000" w:firstRow="1" w:lastRow="0" w:firstColumn="0" w:lastColumn="0" w:oddVBand="0" w:evenVBand="0" w:oddHBand="0" w:evenHBand="0" w:firstRowFirstColumn="0" w:firstRowLastColumn="0" w:lastRowFirstColumn="0" w:lastRowLastColumn="0"/>
              <w:rPr>
                <w:sz w:val="16"/>
                <w:szCs w:val="16"/>
              </w:rPr>
            </w:pPr>
            <w:r w:rsidRPr="00B17E3B">
              <w:rPr>
                <w:sz w:val="16"/>
                <w:szCs w:val="16"/>
              </w:rPr>
              <w:t>Count</w:t>
            </w:r>
          </w:p>
        </w:tc>
      </w:tr>
      <w:tr w:rsidR="000A5C38" w:rsidRPr="00B17E3B" w14:paraId="49717D75"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2ED1757B" w14:textId="77777777" w:rsidR="000A5C38" w:rsidRPr="00B17E3B" w:rsidRDefault="000A5C38" w:rsidP="000A5C38">
            <w:pPr>
              <w:spacing w:before="100"/>
              <w:rPr>
                <w:sz w:val="16"/>
                <w:szCs w:val="16"/>
              </w:rPr>
            </w:pPr>
            <w:r w:rsidRPr="00B17E3B">
              <w:rPr>
                <w:sz w:val="16"/>
                <w:szCs w:val="16"/>
              </w:rPr>
              <w:t>Excellent</w:t>
            </w:r>
          </w:p>
        </w:tc>
        <w:tc>
          <w:tcPr>
            <w:tcW w:w="1877" w:type="pct"/>
            <w:hideMark/>
          </w:tcPr>
          <w:p w14:paraId="3494BF09"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2</w:t>
            </w:r>
          </w:p>
        </w:tc>
      </w:tr>
      <w:tr w:rsidR="000A5C38" w:rsidRPr="00B17E3B" w14:paraId="4EABF770"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21E6CC65" w14:textId="77777777" w:rsidR="000A5C38" w:rsidRPr="00B17E3B" w:rsidRDefault="000A5C38" w:rsidP="000A5C38">
            <w:pPr>
              <w:spacing w:before="100"/>
              <w:rPr>
                <w:sz w:val="16"/>
                <w:szCs w:val="16"/>
              </w:rPr>
            </w:pPr>
            <w:r w:rsidRPr="00B17E3B">
              <w:rPr>
                <w:sz w:val="16"/>
                <w:szCs w:val="16"/>
              </w:rPr>
              <w:t>Moderate</w:t>
            </w:r>
          </w:p>
        </w:tc>
        <w:tc>
          <w:tcPr>
            <w:tcW w:w="1877" w:type="pct"/>
            <w:hideMark/>
          </w:tcPr>
          <w:p w14:paraId="2E3BFED5"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1</w:t>
            </w:r>
          </w:p>
        </w:tc>
      </w:tr>
      <w:tr w:rsidR="000A5C38" w:rsidRPr="00B17E3B" w14:paraId="40C27E2A"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36405729" w14:textId="77777777" w:rsidR="000A5C38" w:rsidRPr="00B17E3B" w:rsidRDefault="000A5C38" w:rsidP="000A5C38">
            <w:pPr>
              <w:spacing w:before="100"/>
              <w:rPr>
                <w:sz w:val="16"/>
                <w:szCs w:val="16"/>
              </w:rPr>
            </w:pPr>
            <w:r w:rsidRPr="00B17E3B">
              <w:rPr>
                <w:sz w:val="16"/>
                <w:szCs w:val="16"/>
              </w:rPr>
              <w:t>Limited</w:t>
            </w:r>
          </w:p>
        </w:tc>
        <w:tc>
          <w:tcPr>
            <w:tcW w:w="1877" w:type="pct"/>
            <w:hideMark/>
          </w:tcPr>
          <w:p w14:paraId="5D5C80B5"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3</w:t>
            </w:r>
          </w:p>
        </w:tc>
      </w:tr>
    </w:tbl>
    <w:p w14:paraId="16FAD613" w14:textId="77777777" w:rsidR="000A132F" w:rsidRDefault="000A132F" w:rsidP="000A5C38">
      <w:pPr>
        <w:spacing w:before="100"/>
        <w:rPr>
          <w:i/>
          <w:iCs/>
        </w:rPr>
      </w:pPr>
    </w:p>
    <w:p w14:paraId="006EE602" w14:textId="74811476" w:rsidR="000A5C38" w:rsidRPr="000A5C38" w:rsidRDefault="000A5C38" w:rsidP="000A5C38">
      <w:pPr>
        <w:spacing w:before="100"/>
      </w:pPr>
      <w:r w:rsidRPr="000A5C38">
        <w:rPr>
          <w:i/>
          <w:iCs/>
        </w:rPr>
        <w:t>PAAG plus GCA to score bands (4 publishers):</w:t>
      </w:r>
    </w:p>
    <w:tbl>
      <w:tblPr>
        <w:tblStyle w:val="GridTable1Light"/>
        <w:tblW w:w="5000" w:type="pct"/>
        <w:tblLook w:val="04A0" w:firstRow="1" w:lastRow="0" w:firstColumn="1" w:lastColumn="0" w:noHBand="0" w:noVBand="1"/>
      </w:tblPr>
      <w:tblGrid>
        <w:gridCol w:w="5840"/>
        <w:gridCol w:w="3510"/>
      </w:tblGrid>
      <w:tr w:rsidR="000A5C38" w:rsidRPr="00B17E3B" w14:paraId="115918C4" w14:textId="77777777" w:rsidTr="00E70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3" w:type="pct"/>
            <w:shd w:val="clear" w:color="auto" w:fill="D9F2D0" w:themeFill="accent6" w:themeFillTint="33"/>
            <w:hideMark/>
          </w:tcPr>
          <w:p w14:paraId="397A788C" w14:textId="77777777" w:rsidR="000A5C38" w:rsidRPr="00B17E3B" w:rsidRDefault="000A5C38" w:rsidP="000A5C38">
            <w:pPr>
              <w:spacing w:before="100"/>
              <w:rPr>
                <w:sz w:val="16"/>
                <w:szCs w:val="16"/>
              </w:rPr>
            </w:pPr>
            <w:r w:rsidRPr="00B17E3B">
              <w:rPr>
                <w:sz w:val="16"/>
                <w:szCs w:val="16"/>
              </w:rPr>
              <w:t>Destination</w:t>
            </w:r>
          </w:p>
        </w:tc>
        <w:tc>
          <w:tcPr>
            <w:tcW w:w="1877" w:type="pct"/>
            <w:shd w:val="clear" w:color="auto" w:fill="D9F2D0" w:themeFill="accent6" w:themeFillTint="33"/>
            <w:hideMark/>
          </w:tcPr>
          <w:p w14:paraId="2A6F77F1" w14:textId="77777777" w:rsidR="000A5C38" w:rsidRPr="00B17E3B" w:rsidRDefault="000A5C38" w:rsidP="000A132F">
            <w:pPr>
              <w:spacing w:before="100"/>
              <w:jc w:val="center"/>
              <w:cnfStyle w:val="100000000000" w:firstRow="1" w:lastRow="0" w:firstColumn="0" w:lastColumn="0" w:oddVBand="0" w:evenVBand="0" w:oddHBand="0" w:evenHBand="0" w:firstRowFirstColumn="0" w:firstRowLastColumn="0" w:lastRowFirstColumn="0" w:lastRowLastColumn="0"/>
              <w:rPr>
                <w:sz w:val="16"/>
                <w:szCs w:val="16"/>
              </w:rPr>
            </w:pPr>
            <w:r w:rsidRPr="00B17E3B">
              <w:rPr>
                <w:sz w:val="16"/>
                <w:szCs w:val="16"/>
              </w:rPr>
              <w:t>Count</w:t>
            </w:r>
          </w:p>
        </w:tc>
      </w:tr>
      <w:tr w:rsidR="000A5C38" w:rsidRPr="00B17E3B" w14:paraId="2CC23235"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2217E43B" w14:textId="77777777" w:rsidR="000A5C38" w:rsidRPr="00B17E3B" w:rsidRDefault="000A5C38" w:rsidP="000A5C38">
            <w:pPr>
              <w:spacing w:before="100"/>
              <w:rPr>
                <w:sz w:val="16"/>
                <w:szCs w:val="16"/>
              </w:rPr>
            </w:pPr>
            <w:r w:rsidRPr="00B17E3B">
              <w:rPr>
                <w:sz w:val="16"/>
                <w:szCs w:val="16"/>
              </w:rPr>
              <w:t>Excellent</w:t>
            </w:r>
          </w:p>
        </w:tc>
        <w:tc>
          <w:tcPr>
            <w:tcW w:w="1877" w:type="pct"/>
            <w:hideMark/>
          </w:tcPr>
          <w:p w14:paraId="099B7AC9"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1</w:t>
            </w:r>
          </w:p>
        </w:tc>
      </w:tr>
      <w:tr w:rsidR="000A5C38" w:rsidRPr="00B17E3B" w14:paraId="46B57F30"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310CF625" w14:textId="77777777" w:rsidR="000A5C38" w:rsidRPr="00B17E3B" w:rsidRDefault="000A5C38" w:rsidP="000A5C38">
            <w:pPr>
              <w:spacing w:before="100"/>
              <w:rPr>
                <w:sz w:val="16"/>
                <w:szCs w:val="16"/>
              </w:rPr>
            </w:pPr>
            <w:r w:rsidRPr="00B17E3B">
              <w:rPr>
                <w:sz w:val="16"/>
                <w:szCs w:val="16"/>
              </w:rPr>
              <w:t>Limited</w:t>
            </w:r>
          </w:p>
        </w:tc>
        <w:tc>
          <w:tcPr>
            <w:tcW w:w="1877" w:type="pct"/>
            <w:hideMark/>
          </w:tcPr>
          <w:p w14:paraId="594BA994"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3</w:t>
            </w:r>
          </w:p>
        </w:tc>
      </w:tr>
    </w:tbl>
    <w:p w14:paraId="264D9C52" w14:textId="77777777" w:rsidR="000A132F" w:rsidRDefault="000A132F" w:rsidP="000A5C38">
      <w:pPr>
        <w:spacing w:before="100"/>
        <w:rPr>
          <w:i/>
          <w:iCs/>
        </w:rPr>
      </w:pPr>
    </w:p>
    <w:p w14:paraId="3BDD27E8" w14:textId="2FF35D43" w:rsidR="000A5C38" w:rsidRPr="000A5C38" w:rsidRDefault="000A5C38" w:rsidP="000A5C38">
      <w:pPr>
        <w:spacing w:before="100"/>
      </w:pPr>
      <w:r w:rsidRPr="000A5C38">
        <w:rPr>
          <w:i/>
          <w:iCs/>
        </w:rPr>
        <w:t>GCA only to score bands (4 publishers):</w:t>
      </w:r>
    </w:p>
    <w:tbl>
      <w:tblPr>
        <w:tblStyle w:val="GridTable1Light"/>
        <w:tblW w:w="5000" w:type="pct"/>
        <w:tblLook w:val="04A0" w:firstRow="1" w:lastRow="0" w:firstColumn="1" w:lastColumn="0" w:noHBand="0" w:noVBand="1"/>
      </w:tblPr>
      <w:tblGrid>
        <w:gridCol w:w="5840"/>
        <w:gridCol w:w="3510"/>
      </w:tblGrid>
      <w:tr w:rsidR="000A5C38" w:rsidRPr="00B17E3B" w14:paraId="2DD4F9C1" w14:textId="77777777" w:rsidTr="00E70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3" w:type="pct"/>
            <w:shd w:val="clear" w:color="auto" w:fill="D9F2D0" w:themeFill="accent6" w:themeFillTint="33"/>
            <w:hideMark/>
          </w:tcPr>
          <w:p w14:paraId="2E50D675" w14:textId="77777777" w:rsidR="000A5C38" w:rsidRPr="00B17E3B" w:rsidRDefault="000A5C38" w:rsidP="000A5C38">
            <w:pPr>
              <w:spacing w:before="100"/>
              <w:rPr>
                <w:sz w:val="16"/>
                <w:szCs w:val="16"/>
              </w:rPr>
            </w:pPr>
            <w:r w:rsidRPr="00B17E3B">
              <w:rPr>
                <w:sz w:val="16"/>
                <w:szCs w:val="16"/>
              </w:rPr>
              <w:t>Destination</w:t>
            </w:r>
          </w:p>
        </w:tc>
        <w:tc>
          <w:tcPr>
            <w:tcW w:w="1877" w:type="pct"/>
            <w:shd w:val="clear" w:color="auto" w:fill="D9F2D0" w:themeFill="accent6" w:themeFillTint="33"/>
            <w:hideMark/>
          </w:tcPr>
          <w:p w14:paraId="6E4024E9" w14:textId="77777777" w:rsidR="000A5C38" w:rsidRPr="00B17E3B" w:rsidRDefault="000A5C38" w:rsidP="000A132F">
            <w:pPr>
              <w:spacing w:before="100"/>
              <w:jc w:val="center"/>
              <w:cnfStyle w:val="100000000000" w:firstRow="1" w:lastRow="0" w:firstColumn="0" w:lastColumn="0" w:oddVBand="0" w:evenVBand="0" w:oddHBand="0" w:evenHBand="0" w:firstRowFirstColumn="0" w:firstRowLastColumn="0" w:lastRowFirstColumn="0" w:lastRowLastColumn="0"/>
              <w:rPr>
                <w:sz w:val="16"/>
                <w:szCs w:val="16"/>
              </w:rPr>
            </w:pPr>
            <w:r w:rsidRPr="00B17E3B">
              <w:rPr>
                <w:sz w:val="16"/>
                <w:szCs w:val="16"/>
              </w:rPr>
              <w:t>Count</w:t>
            </w:r>
          </w:p>
        </w:tc>
      </w:tr>
      <w:tr w:rsidR="000A5C38" w:rsidRPr="00B17E3B" w14:paraId="694BD9F0"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5E7E255F" w14:textId="77777777" w:rsidR="000A5C38" w:rsidRPr="00B17E3B" w:rsidRDefault="000A5C38" w:rsidP="000A5C38">
            <w:pPr>
              <w:spacing w:before="100"/>
              <w:rPr>
                <w:sz w:val="16"/>
                <w:szCs w:val="16"/>
              </w:rPr>
            </w:pPr>
            <w:r w:rsidRPr="00B17E3B">
              <w:rPr>
                <w:sz w:val="16"/>
                <w:szCs w:val="16"/>
              </w:rPr>
              <w:t>Moderate</w:t>
            </w:r>
          </w:p>
        </w:tc>
        <w:tc>
          <w:tcPr>
            <w:tcW w:w="1877" w:type="pct"/>
            <w:hideMark/>
          </w:tcPr>
          <w:p w14:paraId="286C998F"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1</w:t>
            </w:r>
          </w:p>
        </w:tc>
      </w:tr>
      <w:tr w:rsidR="000A5C38" w:rsidRPr="00B17E3B" w14:paraId="1E5073D8"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1DF4C7F9" w14:textId="77777777" w:rsidR="000A5C38" w:rsidRPr="00B17E3B" w:rsidRDefault="000A5C38" w:rsidP="000A5C38">
            <w:pPr>
              <w:spacing w:before="100"/>
              <w:rPr>
                <w:sz w:val="16"/>
                <w:szCs w:val="16"/>
              </w:rPr>
            </w:pPr>
            <w:r w:rsidRPr="00B17E3B">
              <w:rPr>
                <w:sz w:val="16"/>
                <w:szCs w:val="16"/>
              </w:rPr>
              <w:t>Limited</w:t>
            </w:r>
          </w:p>
        </w:tc>
        <w:tc>
          <w:tcPr>
            <w:tcW w:w="1877" w:type="pct"/>
            <w:hideMark/>
          </w:tcPr>
          <w:p w14:paraId="52A851A1"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1</w:t>
            </w:r>
          </w:p>
        </w:tc>
      </w:tr>
      <w:tr w:rsidR="000A5C38" w:rsidRPr="00B17E3B" w14:paraId="7F7D3219"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0F78DD98" w14:textId="77777777" w:rsidR="000A5C38" w:rsidRPr="00B17E3B" w:rsidRDefault="000A5C38" w:rsidP="000A5C38">
            <w:pPr>
              <w:spacing w:before="100"/>
              <w:rPr>
                <w:sz w:val="16"/>
                <w:szCs w:val="16"/>
              </w:rPr>
            </w:pPr>
            <w:r w:rsidRPr="00B17E3B">
              <w:rPr>
                <w:sz w:val="16"/>
                <w:szCs w:val="16"/>
              </w:rPr>
              <w:t>Poor</w:t>
            </w:r>
          </w:p>
        </w:tc>
        <w:tc>
          <w:tcPr>
            <w:tcW w:w="1877" w:type="pct"/>
            <w:hideMark/>
          </w:tcPr>
          <w:p w14:paraId="2AD9C592"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2</w:t>
            </w:r>
          </w:p>
        </w:tc>
      </w:tr>
    </w:tbl>
    <w:p w14:paraId="711B6A97" w14:textId="77777777" w:rsidR="000A132F" w:rsidRDefault="000A132F" w:rsidP="000A5C38">
      <w:pPr>
        <w:spacing w:before="100"/>
        <w:rPr>
          <w:i/>
          <w:iCs/>
        </w:rPr>
      </w:pPr>
    </w:p>
    <w:p w14:paraId="00F7F4E7" w14:textId="0A72CC7C" w:rsidR="000A5C38" w:rsidRPr="000A5C38" w:rsidRDefault="000A5C38" w:rsidP="000A5C38">
      <w:pPr>
        <w:spacing w:before="100"/>
      </w:pPr>
      <w:r w:rsidRPr="000A5C38">
        <w:rPr>
          <w:i/>
          <w:iCs/>
        </w:rPr>
        <w:t>Neither PAAG or GCA to score bands (7 publishers):</w:t>
      </w:r>
    </w:p>
    <w:tbl>
      <w:tblPr>
        <w:tblStyle w:val="GridTable1Light"/>
        <w:tblW w:w="5000" w:type="pct"/>
        <w:tblLook w:val="04A0" w:firstRow="1" w:lastRow="0" w:firstColumn="1" w:lastColumn="0" w:noHBand="0" w:noVBand="1"/>
      </w:tblPr>
      <w:tblGrid>
        <w:gridCol w:w="5840"/>
        <w:gridCol w:w="3510"/>
      </w:tblGrid>
      <w:tr w:rsidR="000A5C38" w:rsidRPr="00B17E3B" w14:paraId="183240B4" w14:textId="77777777" w:rsidTr="00E70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3" w:type="pct"/>
            <w:shd w:val="clear" w:color="auto" w:fill="D9F2D0" w:themeFill="accent6" w:themeFillTint="33"/>
            <w:hideMark/>
          </w:tcPr>
          <w:p w14:paraId="437AF34C" w14:textId="77777777" w:rsidR="000A5C38" w:rsidRPr="00B17E3B" w:rsidRDefault="000A5C38" w:rsidP="000A5C38">
            <w:pPr>
              <w:spacing w:before="100"/>
              <w:rPr>
                <w:sz w:val="16"/>
                <w:szCs w:val="16"/>
              </w:rPr>
            </w:pPr>
            <w:r w:rsidRPr="00B17E3B">
              <w:rPr>
                <w:sz w:val="16"/>
                <w:szCs w:val="16"/>
              </w:rPr>
              <w:t>Destination</w:t>
            </w:r>
          </w:p>
        </w:tc>
        <w:tc>
          <w:tcPr>
            <w:tcW w:w="1877" w:type="pct"/>
            <w:shd w:val="clear" w:color="auto" w:fill="D9F2D0" w:themeFill="accent6" w:themeFillTint="33"/>
            <w:hideMark/>
          </w:tcPr>
          <w:p w14:paraId="5ED478FC" w14:textId="77777777" w:rsidR="000A5C38" w:rsidRPr="00B17E3B" w:rsidRDefault="000A5C38" w:rsidP="000A132F">
            <w:pPr>
              <w:spacing w:before="100"/>
              <w:jc w:val="center"/>
              <w:cnfStyle w:val="100000000000" w:firstRow="1" w:lastRow="0" w:firstColumn="0" w:lastColumn="0" w:oddVBand="0" w:evenVBand="0" w:oddHBand="0" w:evenHBand="0" w:firstRowFirstColumn="0" w:firstRowLastColumn="0" w:lastRowFirstColumn="0" w:lastRowLastColumn="0"/>
              <w:rPr>
                <w:sz w:val="16"/>
                <w:szCs w:val="16"/>
              </w:rPr>
            </w:pPr>
            <w:r w:rsidRPr="00B17E3B">
              <w:rPr>
                <w:sz w:val="16"/>
                <w:szCs w:val="16"/>
              </w:rPr>
              <w:t>Count</w:t>
            </w:r>
          </w:p>
        </w:tc>
      </w:tr>
      <w:tr w:rsidR="000A5C38" w:rsidRPr="00B17E3B" w14:paraId="1F79ED27"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5AE8F51B" w14:textId="77777777" w:rsidR="000A5C38" w:rsidRPr="00B17E3B" w:rsidRDefault="000A5C38" w:rsidP="000A5C38">
            <w:pPr>
              <w:spacing w:before="100"/>
              <w:rPr>
                <w:sz w:val="16"/>
                <w:szCs w:val="16"/>
              </w:rPr>
            </w:pPr>
            <w:r w:rsidRPr="00B17E3B">
              <w:rPr>
                <w:sz w:val="16"/>
                <w:szCs w:val="16"/>
              </w:rPr>
              <w:t>Moderate</w:t>
            </w:r>
          </w:p>
        </w:tc>
        <w:tc>
          <w:tcPr>
            <w:tcW w:w="1877" w:type="pct"/>
            <w:hideMark/>
          </w:tcPr>
          <w:p w14:paraId="36100418"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2</w:t>
            </w:r>
          </w:p>
        </w:tc>
      </w:tr>
      <w:tr w:rsidR="000A5C38" w:rsidRPr="00B17E3B" w14:paraId="0DC7063D" w14:textId="77777777" w:rsidTr="00E70404">
        <w:tc>
          <w:tcPr>
            <w:cnfStyle w:val="001000000000" w:firstRow="0" w:lastRow="0" w:firstColumn="1" w:lastColumn="0" w:oddVBand="0" w:evenVBand="0" w:oddHBand="0" w:evenHBand="0" w:firstRowFirstColumn="0" w:firstRowLastColumn="0" w:lastRowFirstColumn="0" w:lastRowLastColumn="0"/>
            <w:tcW w:w="3123" w:type="pct"/>
            <w:hideMark/>
          </w:tcPr>
          <w:p w14:paraId="238BC23E" w14:textId="77777777" w:rsidR="000A5C38" w:rsidRPr="00B17E3B" w:rsidRDefault="000A5C38" w:rsidP="000A5C38">
            <w:pPr>
              <w:spacing w:before="100"/>
              <w:rPr>
                <w:sz w:val="16"/>
                <w:szCs w:val="16"/>
              </w:rPr>
            </w:pPr>
            <w:r w:rsidRPr="00B17E3B">
              <w:rPr>
                <w:sz w:val="16"/>
                <w:szCs w:val="16"/>
              </w:rPr>
              <w:t>Poor</w:t>
            </w:r>
          </w:p>
        </w:tc>
        <w:tc>
          <w:tcPr>
            <w:tcW w:w="1877" w:type="pct"/>
            <w:hideMark/>
          </w:tcPr>
          <w:p w14:paraId="43A78C88" w14:textId="77777777" w:rsidR="000A5C38" w:rsidRPr="00B17E3B" w:rsidRDefault="000A5C38" w:rsidP="000A132F">
            <w:pPr>
              <w:spacing w:before="100"/>
              <w:jc w:val="center"/>
              <w:cnfStyle w:val="000000000000" w:firstRow="0" w:lastRow="0" w:firstColumn="0" w:lastColumn="0" w:oddVBand="0" w:evenVBand="0" w:oddHBand="0" w:evenHBand="0" w:firstRowFirstColumn="0" w:firstRowLastColumn="0" w:lastRowFirstColumn="0" w:lastRowLastColumn="0"/>
              <w:rPr>
                <w:sz w:val="16"/>
                <w:szCs w:val="16"/>
              </w:rPr>
            </w:pPr>
            <w:r w:rsidRPr="00B17E3B">
              <w:rPr>
                <w:sz w:val="16"/>
                <w:szCs w:val="16"/>
              </w:rPr>
              <w:t>5</w:t>
            </w:r>
          </w:p>
        </w:tc>
      </w:tr>
    </w:tbl>
    <w:p w14:paraId="0E8912A7" w14:textId="77777777" w:rsidR="00E40D9E" w:rsidRDefault="00E40D9E" w:rsidP="000A5C38">
      <w:pPr>
        <w:spacing w:before="100"/>
      </w:pPr>
    </w:p>
    <w:p w14:paraId="557BC9CD" w14:textId="7C3B6B1C" w:rsidR="000A5C38" w:rsidRPr="000A5C38" w:rsidRDefault="000A5C38" w:rsidP="00E40D9E">
      <w:r w:rsidRPr="000A5C38">
        <w:t>Description ends.</w:t>
      </w:r>
    </w:p>
    <w:p w14:paraId="07CE299E" w14:textId="77777777" w:rsidR="00491F9E" w:rsidRDefault="00491F9E" w:rsidP="006D60DD">
      <w:pPr>
        <w:spacing w:before="100"/>
      </w:pPr>
    </w:p>
    <w:sectPr w:rsidR="00491F9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60C"/>
    <w:multiLevelType w:val="hybridMultilevel"/>
    <w:tmpl w:val="5F1633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D2948"/>
    <w:multiLevelType w:val="hybridMultilevel"/>
    <w:tmpl w:val="E0BADB9E"/>
    <w:lvl w:ilvl="0" w:tplc="C7A20AE2">
      <w:start w:val="1"/>
      <w:numFmt w:val="bullet"/>
      <w:lvlText w:val="●"/>
      <w:lvlJc w:val="left"/>
      <w:pPr>
        <w:ind w:left="720" w:hanging="360"/>
      </w:pPr>
    </w:lvl>
    <w:lvl w:ilvl="1" w:tplc="FE0A8D1A">
      <w:start w:val="1"/>
      <w:numFmt w:val="bullet"/>
      <w:lvlText w:val="○"/>
      <w:lvlJc w:val="left"/>
      <w:pPr>
        <w:ind w:left="1440" w:hanging="360"/>
      </w:pPr>
    </w:lvl>
    <w:lvl w:ilvl="2" w:tplc="9CB8A666">
      <w:start w:val="1"/>
      <w:numFmt w:val="bullet"/>
      <w:lvlText w:val="■"/>
      <w:lvlJc w:val="left"/>
      <w:pPr>
        <w:ind w:left="2160" w:hanging="360"/>
      </w:pPr>
    </w:lvl>
    <w:lvl w:ilvl="3" w:tplc="40A8E382">
      <w:start w:val="1"/>
      <w:numFmt w:val="bullet"/>
      <w:lvlText w:val="●"/>
      <w:lvlJc w:val="left"/>
      <w:pPr>
        <w:ind w:left="2880" w:hanging="360"/>
      </w:pPr>
    </w:lvl>
    <w:lvl w:ilvl="4" w:tplc="9F3AEC46">
      <w:start w:val="1"/>
      <w:numFmt w:val="bullet"/>
      <w:lvlText w:val="○"/>
      <w:lvlJc w:val="left"/>
      <w:pPr>
        <w:ind w:left="3600" w:hanging="360"/>
      </w:pPr>
    </w:lvl>
    <w:lvl w:ilvl="5" w:tplc="DF067BFA">
      <w:start w:val="1"/>
      <w:numFmt w:val="bullet"/>
      <w:lvlText w:val="■"/>
      <w:lvlJc w:val="left"/>
      <w:pPr>
        <w:ind w:left="4320" w:hanging="360"/>
      </w:pPr>
    </w:lvl>
    <w:lvl w:ilvl="6" w:tplc="B9C668EA">
      <w:start w:val="1"/>
      <w:numFmt w:val="bullet"/>
      <w:lvlText w:val="●"/>
      <w:lvlJc w:val="left"/>
      <w:pPr>
        <w:ind w:left="5040" w:hanging="360"/>
      </w:pPr>
    </w:lvl>
    <w:lvl w:ilvl="7" w:tplc="79AC260A">
      <w:start w:val="1"/>
      <w:numFmt w:val="bullet"/>
      <w:lvlText w:val="●"/>
      <w:lvlJc w:val="left"/>
      <w:pPr>
        <w:ind w:left="5760" w:hanging="360"/>
      </w:pPr>
    </w:lvl>
    <w:lvl w:ilvl="8" w:tplc="B246D8E8">
      <w:start w:val="1"/>
      <w:numFmt w:val="bullet"/>
      <w:lvlText w:val="●"/>
      <w:lvlJc w:val="left"/>
      <w:pPr>
        <w:ind w:left="6480" w:hanging="360"/>
      </w:pPr>
    </w:lvl>
  </w:abstractNum>
  <w:abstractNum w:abstractNumId="2" w15:restartNumberingAfterBreak="0">
    <w:nsid w:val="0D52390D"/>
    <w:multiLevelType w:val="hybridMultilevel"/>
    <w:tmpl w:val="2912F5AC"/>
    <w:lvl w:ilvl="0" w:tplc="B400EECE">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3" w15:restartNumberingAfterBreak="0">
    <w:nsid w:val="16574730"/>
    <w:multiLevelType w:val="hybridMultilevel"/>
    <w:tmpl w:val="99F6DE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54528"/>
    <w:multiLevelType w:val="hybridMultilevel"/>
    <w:tmpl w:val="C0D4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76624"/>
    <w:multiLevelType w:val="hybridMultilevel"/>
    <w:tmpl w:val="F6C8FE52"/>
    <w:lvl w:ilvl="0" w:tplc="B400EECE">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6" w15:restartNumberingAfterBreak="0">
    <w:nsid w:val="34F96C67"/>
    <w:multiLevelType w:val="multilevel"/>
    <w:tmpl w:val="F484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837CD"/>
    <w:multiLevelType w:val="hybridMultilevel"/>
    <w:tmpl w:val="B76AD73E"/>
    <w:lvl w:ilvl="0" w:tplc="B400EECE">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8" w15:restartNumberingAfterBreak="0">
    <w:nsid w:val="5A815E1F"/>
    <w:multiLevelType w:val="hybridMultilevel"/>
    <w:tmpl w:val="25F204E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A2260D6"/>
    <w:multiLevelType w:val="hybridMultilevel"/>
    <w:tmpl w:val="9D80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235BE6"/>
    <w:multiLevelType w:val="hybridMultilevel"/>
    <w:tmpl w:val="824E7490"/>
    <w:lvl w:ilvl="0" w:tplc="1B143B42">
      <w:start w:val="1"/>
      <w:numFmt w:val="decimal"/>
      <w:lvlText w:val="%1."/>
      <w:lvlJc w:val="left"/>
      <w:pPr>
        <w:ind w:left="720" w:hanging="360"/>
      </w:pPr>
    </w:lvl>
    <w:lvl w:ilvl="1" w:tplc="B816AD80">
      <w:numFmt w:val="decimal"/>
      <w:lvlText w:val=""/>
      <w:lvlJc w:val="left"/>
    </w:lvl>
    <w:lvl w:ilvl="2" w:tplc="8462469A">
      <w:numFmt w:val="decimal"/>
      <w:lvlText w:val=""/>
      <w:lvlJc w:val="left"/>
    </w:lvl>
    <w:lvl w:ilvl="3" w:tplc="FCBE9E60">
      <w:numFmt w:val="decimal"/>
      <w:lvlText w:val=""/>
      <w:lvlJc w:val="left"/>
    </w:lvl>
    <w:lvl w:ilvl="4" w:tplc="34EE0FC2">
      <w:numFmt w:val="decimal"/>
      <w:lvlText w:val=""/>
      <w:lvlJc w:val="left"/>
    </w:lvl>
    <w:lvl w:ilvl="5" w:tplc="F1169B6A">
      <w:numFmt w:val="decimal"/>
      <w:lvlText w:val=""/>
      <w:lvlJc w:val="left"/>
    </w:lvl>
    <w:lvl w:ilvl="6" w:tplc="D0446C4E">
      <w:numFmt w:val="decimal"/>
      <w:lvlText w:val=""/>
      <w:lvlJc w:val="left"/>
    </w:lvl>
    <w:lvl w:ilvl="7" w:tplc="4B9609E0">
      <w:numFmt w:val="decimal"/>
      <w:lvlText w:val=""/>
      <w:lvlJc w:val="left"/>
    </w:lvl>
    <w:lvl w:ilvl="8" w:tplc="55AE7E26">
      <w:numFmt w:val="decimal"/>
      <w:lvlText w:val=""/>
      <w:lvlJc w:val="left"/>
    </w:lvl>
  </w:abstractNum>
  <w:num w:numId="1" w16cid:durableId="1520462214">
    <w:abstractNumId w:val="1"/>
    <w:lvlOverride w:ilvl="0">
      <w:startOverride w:val="1"/>
    </w:lvlOverride>
  </w:num>
  <w:num w:numId="2" w16cid:durableId="2076388799">
    <w:abstractNumId w:val="10"/>
    <w:lvlOverride w:ilvl="0">
      <w:startOverride w:val="1"/>
    </w:lvlOverride>
  </w:num>
  <w:num w:numId="3" w16cid:durableId="30497140">
    <w:abstractNumId w:val="0"/>
  </w:num>
  <w:num w:numId="4" w16cid:durableId="330449666">
    <w:abstractNumId w:val="8"/>
  </w:num>
  <w:num w:numId="5" w16cid:durableId="691300796">
    <w:abstractNumId w:val="3"/>
  </w:num>
  <w:num w:numId="6" w16cid:durableId="1607155593">
    <w:abstractNumId w:val="1"/>
  </w:num>
  <w:num w:numId="7" w16cid:durableId="1274630585">
    <w:abstractNumId w:val="5"/>
  </w:num>
  <w:num w:numId="8" w16cid:durableId="1968394609">
    <w:abstractNumId w:val="2"/>
  </w:num>
  <w:num w:numId="9" w16cid:durableId="1867214630">
    <w:abstractNumId w:val="7"/>
  </w:num>
  <w:num w:numId="10" w16cid:durableId="1200431083">
    <w:abstractNumId w:val="6"/>
  </w:num>
  <w:num w:numId="11" w16cid:durableId="536088043">
    <w:abstractNumId w:val="4"/>
  </w:num>
  <w:num w:numId="12" w16cid:durableId="1955213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F9E"/>
    <w:rsid w:val="000758CB"/>
    <w:rsid w:val="00084C55"/>
    <w:rsid w:val="000A132F"/>
    <w:rsid w:val="000A5316"/>
    <w:rsid w:val="000A5C38"/>
    <w:rsid w:val="000B451A"/>
    <w:rsid w:val="000E440B"/>
    <w:rsid w:val="00100405"/>
    <w:rsid w:val="00154886"/>
    <w:rsid w:val="0016642D"/>
    <w:rsid w:val="00181D58"/>
    <w:rsid w:val="001873DC"/>
    <w:rsid w:val="00196174"/>
    <w:rsid w:val="001F7C05"/>
    <w:rsid w:val="00274EF1"/>
    <w:rsid w:val="002A4B73"/>
    <w:rsid w:val="002D4C3A"/>
    <w:rsid w:val="0033755A"/>
    <w:rsid w:val="00343699"/>
    <w:rsid w:val="0034698C"/>
    <w:rsid w:val="00407B00"/>
    <w:rsid w:val="00491F9E"/>
    <w:rsid w:val="004B447F"/>
    <w:rsid w:val="00596F54"/>
    <w:rsid w:val="005A4B75"/>
    <w:rsid w:val="005D10E3"/>
    <w:rsid w:val="00617C6F"/>
    <w:rsid w:val="00620AB5"/>
    <w:rsid w:val="00621912"/>
    <w:rsid w:val="00680CDF"/>
    <w:rsid w:val="006B72DC"/>
    <w:rsid w:val="006D60DD"/>
    <w:rsid w:val="00712537"/>
    <w:rsid w:val="007D694E"/>
    <w:rsid w:val="00800A53"/>
    <w:rsid w:val="00802A5B"/>
    <w:rsid w:val="008D3A52"/>
    <w:rsid w:val="0099494F"/>
    <w:rsid w:val="009B484F"/>
    <w:rsid w:val="009D4FF1"/>
    <w:rsid w:val="00A42489"/>
    <w:rsid w:val="00A5553A"/>
    <w:rsid w:val="00AA3501"/>
    <w:rsid w:val="00AA6CEA"/>
    <w:rsid w:val="00AC58DC"/>
    <w:rsid w:val="00AE2805"/>
    <w:rsid w:val="00AF34B2"/>
    <w:rsid w:val="00B02531"/>
    <w:rsid w:val="00B03E14"/>
    <w:rsid w:val="00B17E3B"/>
    <w:rsid w:val="00B8525E"/>
    <w:rsid w:val="00C07FC5"/>
    <w:rsid w:val="00C1197B"/>
    <w:rsid w:val="00C440C0"/>
    <w:rsid w:val="00C46F9E"/>
    <w:rsid w:val="00D95546"/>
    <w:rsid w:val="00E37848"/>
    <w:rsid w:val="00E40D9E"/>
    <w:rsid w:val="00E576F9"/>
    <w:rsid w:val="00E70404"/>
    <w:rsid w:val="00E72FA2"/>
    <w:rsid w:val="00F53156"/>
    <w:rsid w:val="00F9281F"/>
    <w:rsid w:val="00FA3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43A0"/>
  <w15:docId w15:val="{0F0C60BC-6D10-433B-931C-17259BB7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A5553A"/>
    <w:pPr>
      <w:outlineLvl w:val="0"/>
    </w:pPr>
    <w:rPr>
      <w:color w:val="0F614F"/>
      <w:sz w:val="32"/>
      <w:szCs w:val="32"/>
    </w:rPr>
  </w:style>
  <w:style w:type="paragraph" w:styleId="Heading2">
    <w:name w:val="heading 2"/>
    <w:uiPriority w:val="9"/>
    <w:unhideWhenUsed/>
    <w:qFormat/>
    <w:rsid w:val="00A5553A"/>
    <w:pPr>
      <w:outlineLvl w:val="1"/>
    </w:pPr>
    <w:rPr>
      <w:color w:val="0F614F"/>
      <w:sz w:val="26"/>
      <w:szCs w:val="26"/>
    </w:rPr>
  </w:style>
  <w:style w:type="paragraph" w:styleId="Heading3">
    <w:name w:val="heading 3"/>
    <w:uiPriority w:val="9"/>
    <w:unhideWhenUsed/>
    <w:qFormat/>
    <w:rsid w:val="00A5553A"/>
    <w:pPr>
      <w:spacing w:after="160"/>
      <w:outlineLvl w:val="2"/>
    </w:pPr>
    <w:rPr>
      <w:color w:val="0F614F"/>
      <w:sz w:val="24"/>
      <w:szCs w:val="24"/>
    </w:rPr>
  </w:style>
  <w:style w:type="paragraph" w:styleId="Heading4">
    <w:name w:val="heading 4"/>
    <w:uiPriority w:val="9"/>
    <w:unhideWhenUsed/>
    <w:qFormat/>
    <w:rsid w:val="000B451A"/>
    <w:pPr>
      <w:outlineLvl w:val="3"/>
    </w:pPr>
    <w:rPr>
      <w:i/>
      <w:iCs/>
      <w:color w:val="0F614F"/>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407B00"/>
    <w:rPr>
      <w:color w:val="605E5C"/>
      <w:shd w:val="clear" w:color="auto" w:fill="E1DFDD"/>
    </w:rPr>
  </w:style>
  <w:style w:type="table" w:styleId="GridTable1Light">
    <w:name w:val="Grid Table 1 Light"/>
    <w:basedOn w:val="TableNormal"/>
    <w:uiPriority w:val="46"/>
    <w:rsid w:val="002D4C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pire@textboxdigita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textboxdigital.com" TargetMode="External"/><Relationship Id="rId4" Type="http://schemas.openxmlformats.org/officeDocument/2006/relationships/webSettings" Target="webSettings.xml"/><Relationship Id="rId9" Type="http://schemas.openxmlformats.org/officeDocument/2006/relationships/hyperlink" Target="http://www.textboxdigital.com/aspir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4082</Words>
  <Characters>23268</Characters>
  <Application>Microsoft Office Word</Application>
  <DocSecurity>0</DocSecurity>
  <Lines>193</Lines>
  <Paragraphs>54</Paragraphs>
  <ScaleCrop>false</ScaleCrop>
  <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Huw Alexander</cp:lastModifiedBy>
  <cp:revision>6</cp:revision>
  <dcterms:created xsi:type="dcterms:W3CDTF">2026-01-27T07:24:00Z</dcterms:created>
  <dcterms:modified xsi:type="dcterms:W3CDTF">2026-01-27T07:35:00Z</dcterms:modified>
</cp:coreProperties>
</file>